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media/image1.png" ContentType="image/jpeg"/>
  <Override PartName="/word/media/image2.png" ContentType="image/jpeg"/>
  <Override PartName="/word/media/image3.png" ContentType="image/jpeg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/>
    <w:p/>
    <w:p/>
    <w:p/>
    <w:p/>
    <w:p/>
    <w:p>
      <w:pPr>
        <w:jc w:val="center"/>
      </w:pPr>
      <w:r>
        <w:rPr>
          <w:b/>
          <w:color w:val="2196F3"/>
          <w:sz w:val="32"/>
        </w:rPr>
        <w:t>Agência Regulatória</w:t>
      </w:r>
    </w:p>
    <w:p>
      <w:pPr>
        <w:jc w:val="center"/>
      </w:pPr>
      <w:r>
        <w:rPr>
          <w:color w:val="1A237E"/>
          <w:sz w:val="22"/>
        </w:rPr>
        <w:t>Diretoria de Gás e Energia</w:t>
      </w:r>
    </w:p>
    <w:p/>
    <w:p>
      <w:pPr>
        <w:jc w:val="center"/>
      </w:pPr>
      <w:r>
        <w:rPr>
          <w:color w:val="2196F3"/>
        </w:rPr>
        <w:t>____________________________________________________________</w:t>
      </w:r>
    </w:p>
    <w:p/>
    <w:p>
      <w:pPr>
        <w:jc w:val="center"/>
      </w:pPr>
      <w:r>
        <w:rPr>
          <w:b/>
          <w:color w:val="1A237E"/>
          <w:sz w:val="48"/>
        </w:rPr>
        <w:t>RELATÓRIO DE AUDITORIA TÉCNICA</w:t>
      </w:r>
    </w:p>
    <w:p/>
    <w:p>
      <w:pPr>
        <w:jc w:val="center"/>
      </w:pPr>
      <w:r>
        <w:rPr>
          <w:color w:val="1A237E"/>
          <w:sz w:val="28"/>
        </w:rPr>
        <w:t>Análise das Condições de Operação</w:t>
        <w:br/>
        <w:t>de Distrito de Distribuição de Gás Natural</w:t>
      </w:r>
    </w:p>
    <w:p/>
    <w:p>
      <w:pPr>
        <w:jc w:val="center"/>
      </w:pPr>
      <w:r>
        <w:rPr>
          <w:color w:val="2196F3"/>
        </w:rPr>
        <w:t>____________________________________________________________</w:t>
      </w:r>
    </w:p>
    <w:p/>
    <w:p/>
    <w:p/>
    <w:p>
      <w:pPr>
        <w:jc w:val="center"/>
      </w:pPr>
      <w:r>
        <w:rPr>
          <w:color w:val="1A237E"/>
          <w:sz w:val="22"/>
        </w:rPr>
        <w:t>Período Analisado: Abril a Setembro de 2025</w:t>
      </w:r>
    </w:p>
    <w:p>
      <w:pPr>
        <w:jc w:val="center"/>
      </w:pPr>
      <w:r>
        <w:rPr>
          <w:color w:val="1A237E"/>
          <w:sz w:val="22"/>
        </w:rPr>
        <w:t>Data de Emissão: 12/02/2026</w:t>
      </w:r>
    </w:p>
    <w:p/>
    <w:p>
      <w:pPr>
        <w:jc w:val="center"/>
      </w:pPr>
      <w:r>
        <w:rPr>
          <w:i/>
          <w:color w:val="2196F3"/>
          <w:sz w:val="20"/>
        </w:rPr>
        <w:t>Medições Inteligentes e Gestão Integrada</w:t>
      </w:r>
    </w:p>
    <w:p>
      <w:pPr>
        <w:jc w:val="center"/>
      </w:pPr>
      <w:r>
        <w:rPr>
          <w:b/>
          <w:color w:val="FF9800"/>
          <w:sz w:val="20"/>
        </w:rPr>
        <w:t>CONFIDENCIAL</w:t>
      </w:r>
    </w:p>
    <w:p>
      <w:r>
        <w:br w:type="page"/>
      </w:r>
    </w:p>
    <w:p>
      <w:pPr>
        <w:pStyle w:val="Heading1"/>
      </w:pPr>
      <w:r>
        <w:t>Sumário</w:t>
      </w:r>
    </w:p>
    <w:p/>
    <w:p>
      <w:pPr>
        <w:spacing w:after="60"/>
      </w:pPr>
      <w:r>
        <w:rPr>
          <w:b/>
          <w:color w:val="1A237E"/>
          <w:sz w:val="22"/>
        </w:rPr>
        <w:t>Resumo Executivo</w:t>
      </w:r>
    </w:p>
    <w:p>
      <w:pPr>
        <w:spacing w:after="60"/>
      </w:pPr>
      <w:r>
        <w:rPr>
          <w:b/>
          <w:color w:val="1A237E"/>
          <w:sz w:val="22"/>
        </w:rPr>
        <w:t>1. Visão Geral do Distrito e Dados Disponíveis</w:t>
      </w:r>
    </w:p>
    <w:p>
      <w:pPr>
        <w:spacing w:after="60"/>
      </w:pPr>
      <w:r>
        <w:rPr>
          <w:b/>
          <w:color w:val="1A237E"/>
          <w:sz w:val="22"/>
        </w:rPr>
        <w:t>2. Análise de Volumes de Entrada</w:t>
      </w:r>
    </w:p>
    <w:p>
      <w:pPr>
        <w:spacing w:after="60"/>
      </w:pPr>
      <w:r>
        <w:rPr>
          <w:b/>
          <w:color w:val="1A237E"/>
          <w:sz w:val="22"/>
        </w:rPr>
        <w:t>3. Análise do Poder Calorífico Superior (PCS)</w:t>
      </w:r>
    </w:p>
    <w:p>
      <w:pPr>
        <w:spacing w:after="60"/>
      </w:pPr>
      <w:r>
        <w:rPr>
          <w:b/>
          <w:color w:val="1A237E"/>
          <w:sz w:val="22"/>
        </w:rPr>
        <w:t>4. Cálculo e Validação de Energia</w:t>
      </w:r>
    </w:p>
    <w:p>
      <w:pPr>
        <w:spacing w:after="60"/>
      </w:pPr>
      <w:r>
        <w:rPr>
          <w:b/>
          <w:color w:val="1A237E"/>
          <w:sz w:val="22"/>
        </w:rPr>
        <w:t>5. Perfis de Consumo dos Clientes</w:t>
      </w:r>
    </w:p>
    <w:p>
      <w:pPr>
        <w:spacing w:after="60"/>
      </w:pPr>
      <w:r>
        <w:rPr>
          <w:b/>
          <w:color w:val="1A237E"/>
          <w:sz w:val="22"/>
        </w:rPr>
        <w:t>6. Cálculo de Incertezas de Medição</w:t>
      </w:r>
    </w:p>
    <w:p>
      <w:pPr>
        <w:spacing w:after="60"/>
      </w:pPr>
      <w:r>
        <w:rPr>
          <w:b/>
          <w:color w:val="1A237E"/>
          <w:sz w:val="22"/>
        </w:rPr>
        <w:t>7. Balanço de Massa com Bandas de Incerteza</w:t>
      </w:r>
    </w:p>
    <w:p>
      <w:pPr>
        <w:spacing w:after="60"/>
      </w:pPr>
      <w:r>
        <w:rPr>
          <w:b/>
          <w:color w:val="1A237E"/>
          <w:sz w:val="22"/>
        </w:rPr>
        <w:t>8. Conclusões e Recomendações</w:t>
      </w:r>
    </w:p>
    <w:p/>
    <w:p>
      <w:r>
        <w:rPr>
          <w:i/>
          <w:color w:val="999999"/>
          <w:sz w:val="16"/>
        </w:rPr>
        <w:t>Nota: Para números de página atualizados, use Ctrl+A → F9 no Word.</w:t>
      </w:r>
    </w:p>
    <w:p>
      <w:r>
        <w:fldChar w:fldCharType="begin"/>
      </w:r>
      <w:r>
        <w:instrText xml:space="preserve"> TOC \o "1-3" \h \z \u </w:instrText>
      </w:r>
      <w:r>
        <w:fldChar w:fldCharType="separate"/>
      </w:r>
      <w:r>
        <w:fldChar w:fldCharType="end"/>
      </w:r>
    </w:p>
    <w:p>
      <w:r>
        <w:br w:type="page"/>
      </w:r>
    </w:p>
    <w:p>
      <w:pPr>
        <w:pStyle w:val="Heading1"/>
      </w:pPr>
      <w:r>
        <w:t>Resumo Executivo</w:t>
      </w:r>
    </w:p>
    <w:p>
      <w:pPr>
        <w:pStyle w:val="Heading2"/>
      </w:pPr>
      <w:r>
        <w:t>RESUMO EXECUTIVO</w:t>
      </w:r>
    </w:p>
    <w:p>
      <w:r>
        <w:t xml:space="preserve">Este Resumo Executivo apresenta o parecer técnico desta Agência Regulatória sobre as condições de operação e a integridade metrológica de um distrito de distribuição de gás natural, abrangendo o período de </w:t>
      </w:r>
      <w:r>
        <w:rPr>
          <w:b/>
        </w:rPr>
        <w:t>01/04/2025 a 30/09/2025</w:t>
      </w:r>
      <w:r>
        <w:t>. A auditoria focou na validação dos volumes e energias transacionados, garantindo a conformidade regulatória e a justiça comercial entre supridores, concessionária e consumidores finais.</w:t>
      </w:r>
    </w:p>
    <w:p>
      <w:pPr>
        <w:pStyle w:val="Heading3"/>
      </w:pPr>
      <w:r>
        <w:t>1. Objetivo e Escopo</w:t>
      </w:r>
    </w:p>
    <w:p>
      <w:r>
        <w:t>O objetivo primordial desta auditoria foi avaliar a exatidão dos sistemas de medição de transferência de custódia e a consistência do balanço de massa do distrito. O escopo compreendeu:</w:t>
      </w:r>
    </w:p>
    <w:p>
      <w:pPr>
        <w:pStyle w:val="ListBullet"/>
      </w:pPr>
      <w:r>
        <w:t xml:space="preserve">  </w:t>
      </w:r>
      <w:r>
        <w:rPr>
          <w:b/>
        </w:rPr>
        <w:t>Ponto de Entrada</w:t>
      </w:r>
      <w:r>
        <w:t xml:space="preserve">: Estação de Recebimento (City-Gate) composta pelos </w:t>
      </w:r>
      <w:r>
        <w:rPr>
          <w:b/>
        </w:rPr>
        <w:t>Tramos 101 e 501</w:t>
      </w:r>
      <w:r>
        <w:t xml:space="preserve">, totalizando um recebimento de </w:t>
      </w:r>
      <w:r>
        <w:rPr>
          <w:b/>
        </w:rPr>
        <w:t>182.919.850,00 Nm³</w:t>
      </w:r>
      <w:r>
        <w:t>.</w:t>
      </w:r>
    </w:p>
    <w:p>
      <w:pPr>
        <w:pStyle w:val="ListBullet"/>
      </w:pPr>
      <w:r>
        <w:t xml:space="preserve">  </w:t>
      </w:r>
      <w:r>
        <w:rPr>
          <w:b/>
        </w:rPr>
        <w:t>Pontos de Saída</w:t>
      </w:r>
      <w:r>
        <w:t xml:space="preserve">: Sete clientes industriais (Empresas A a G), com um volume faturado acumulado de </w:t>
      </w:r>
      <w:r>
        <w:rPr>
          <w:b/>
        </w:rPr>
        <w:t>180.923.440,00 Nm³</w:t>
      </w:r>
      <w:r>
        <w:t>.</w:t>
      </w:r>
    </w:p>
    <w:p>
      <w:pPr>
        <w:pStyle w:val="ListBullet"/>
      </w:pPr>
      <w:r>
        <w:t xml:space="preserve">  </w:t>
      </w:r>
      <w:r>
        <w:rPr>
          <w:b/>
        </w:rPr>
        <w:t>Parâmetros Avaliados</w:t>
      </w:r>
      <w:r>
        <w:t>: Volume em condições normais (</w:t>
      </w:r>
      <w:r>
        <w:rPr>
          <w:b/>
        </w:rPr>
        <w:t>Nm³</w:t>
      </w:r>
      <w:r>
        <w:t>), vazão horária (</w:t>
      </w:r>
      <w:r>
        <w:rPr>
          <w:b/>
        </w:rPr>
        <w:t>m³/h</w:t>
      </w:r>
      <w:r>
        <w:t xml:space="preserve">), pressão, temperatura, </w:t>
      </w:r>
      <w:r>
        <w:rPr>
          <w:b/>
        </w:rPr>
        <w:t>Poder Calorífico Superior (PCS)</w:t>
      </w:r>
      <w:r>
        <w:t xml:space="preserve"> e energia total (</w:t>
      </w:r>
      <w:r>
        <w:rPr>
          <w:b/>
        </w:rPr>
        <w:t>Gcal</w:t>
      </w:r>
      <w:r>
        <w:t>).</w:t>
      </w:r>
    </w:p>
    <w:p>
      <w:pPr>
        <w:pStyle w:val="Heading3"/>
      </w:pPr>
      <w:r>
        <w:t>2. Metrologia e Metodologia de Auditoria</w:t>
      </w:r>
    </w:p>
    <w:p>
      <w:r>
        <w:t>A fiscalização baseou-se em metodologias estatísticas e termodinâmicas reconhecidas internacionalmente:</w:t>
      </w:r>
    </w:p>
    <w:p>
      <w:pPr>
        <w:pStyle w:val="ListNumber"/>
      </w:pPr>
      <w:r>
        <w:rPr>
          <w:b/>
        </w:rPr>
        <w:t>Conversão de Volumes</w:t>
      </w:r>
      <w:r>
        <w:t xml:space="preserve">: Todos os registros foram normalizados para a pressão base de </w:t>
      </w:r>
      <w:r>
        <w:rPr>
          <w:b/>
        </w:rPr>
        <w:t>101,325 kPa</w:t>
      </w:r>
      <w:r>
        <w:t xml:space="preserve"> e temperatura base de </w:t>
      </w:r>
      <w:r>
        <w:rPr>
          <w:b/>
        </w:rPr>
        <w:t>293,15 K</w:t>
      </w:r>
      <w:r>
        <w:t>, utilizando o fator de compressibilidade (</w:t>
      </w:r>
      <m:oMath>
        <m:r>
          <m:t>Z</m:t>
        </m:r>
      </m:oMath>
      <w:r>
        <w:t xml:space="preserve">) conforme a norma </w:t>
      </w:r>
      <w:r>
        <w:rPr>
          <w:b/>
        </w:rPr>
        <w:t>AGA 8</w:t>
      </w:r>
      <w:r>
        <w:t>.</w:t>
      </w:r>
    </w:p>
    <w:p>
      <w:pPr>
        <w:pStyle w:val="ListNumber"/>
      </w:pPr>
      <w:r>
        <w:rPr>
          <w:b/>
        </w:rPr>
        <w:t>Balanço de Massa</w:t>
      </w:r>
      <w:r>
        <w:t xml:space="preserve">: Aplicação do princípio da conservação das massas para calcular o </w:t>
      </w:r>
      <w:r>
        <w:rPr>
          <w:b/>
        </w:rPr>
        <w:t>Gás Não Contabilizado (GNC)</w:t>
      </w:r>
      <w:r>
        <w:t>, utilizando a equação:</w:t>
      </w:r>
    </w:p>
    <w:p>
      <w:pPr>
        <w:jc w:val="center"/>
      </w:pPr>
      <m:oMath>
        <m:r>
          <m:rPr>
            <m:nor/>
          </m:rPr>
          <m:t>Dif\%</m:t>
        </m:r>
        <m:r>
          <m:t>=</m:t>
        </m:r>
        <m:f>
          <m:fPr>
            <m:type m:val="bar"/>
          </m:fPr>
          <m:num>
            <m:sSub>
              <m:e>
                <m:r>
                  <m:t>V</m:t>
                </m:r>
              </m:e>
              <m:sub>
                <m:r>
                  <m:t>entrada</m:t>
                </m:r>
              </m:sub>
            </m:sSub>
            <m:r>
              <m:t>−∑</m:t>
            </m:r>
            <m:sSub>
              <m:e>
                <m:r>
                  <m:t>V</m:t>
                </m:r>
              </m:e>
              <m:sub>
                <m:r>
                  <m:t>saída</m:t>
                </m:r>
              </m:sub>
            </m:sSub>
          </m:num>
          <m:den>
            <m:sSub>
              <m:e>
                <m:r>
                  <m:t>V</m:t>
                </m:r>
              </m:e>
              <m:sub>
                <m:r>
                  <m:t>entrada</m:t>
                </m:r>
              </m:sub>
            </m:sSub>
          </m:den>
        </m:f>
        <m:r>
          <m:t>×100</m:t>
        </m:r>
      </m:oMath>
    </w:p>
    <w:p>
      <w:pPr>
        <w:pStyle w:val="ListNumber"/>
      </w:pPr>
      <w:r>
        <w:rPr>
          <w:b/>
        </w:rPr>
        <w:t>Análise de Incertezas</w:t>
      </w:r>
      <w:r>
        <w:t xml:space="preserve">: Utilização do método </w:t>
      </w:r>
      <w:r>
        <w:rPr>
          <w:b/>
        </w:rPr>
        <w:t>RSS</w:t>
      </w:r>
      <w:r>
        <w:t xml:space="preserve"> (</w:t>
      </w:r>
      <w:r>
        <w:rPr>
          <w:i/>
        </w:rPr>
        <w:t>Root Sum Square</w:t>
      </w:r>
      <w:r>
        <w:t xml:space="preserve">) para a combinação de incertezas, seguindo as diretrizes do </w:t>
      </w:r>
      <w:r>
        <w:rPr>
          <w:b/>
        </w:rPr>
        <w:t>GUM</w:t>
      </w:r>
      <w:r>
        <w:t xml:space="preserve"> (</w:t>
      </w:r>
      <w:r>
        <w:rPr>
          <w:i/>
        </w:rPr>
        <w:t>Guide to the Expression of Uncertainty in Measurement</w:t>
      </w:r>
      <w:r>
        <w:t xml:space="preserve">). A avaliação de conformidade foi realizada pela sobreposição das bandas de </w:t>
      </w:r>
      <w:r>
        <w:rPr>
          <w:b/>
        </w:rPr>
        <w:t>incerteza expandida</w:t>
      </w:r>
      <w:r>
        <w:t xml:space="preserve"> (nível de confiança de 95,45%, </w:t>
      </w:r>
      <m:oMath>
        <m:r>
          <m:t>k=2</m:t>
        </m:r>
      </m:oMath>
      <w:r>
        <w:t>).</w:t>
      </w:r>
    </w:p>
    <w:p>
      <w:pPr>
        <w:pStyle w:val="ListNumber"/>
      </w:pPr>
      <w:r>
        <w:rPr>
          <w:b/>
        </w:rPr>
        <w:t>Cálculo de Energia</w:t>
      </w:r>
      <w:r>
        <w:t xml:space="preserve">: Validação da integração energética através da fórmula </w:t>
      </w:r>
      <m:oMath>
        <m:r>
          <m:t>E=V×PCS</m:t>
        </m:r>
      </m:oMath>
      <w:r>
        <w:t>, cruzando dados cromatográficos da transportadora e da concessionária.</w:t>
      </w:r>
    </w:p>
    <w:p>
      <w:pPr>
        <w:pStyle w:val="Heading3"/>
      </w:pPr>
      <w:r>
        <w:t>3. Principais Achados de Auditoria</w:t>
      </w:r>
    </w:p>
    <w:p>
      <w:r>
        <w:t>Os resultados da análise técnica revelaram os seguintes pontos críticos:</w:t>
      </w:r>
    </w:p>
    <w:p>
      <w:pPr>
        <w:pStyle w:val="ListBullet"/>
      </w:pPr>
      <w:r>
        <w:t xml:space="preserve">  </w:t>
      </w:r>
      <w:r>
        <w:rPr>
          <w:b/>
        </w:rPr>
        <w:t>Integridade do Balanço de Massa</w:t>
      </w:r>
      <w:r>
        <w:t xml:space="preserve">: A diferença apurada entre a entrada e a saída do distrito foi de </w:t>
      </w:r>
      <w:r>
        <w:rPr>
          <w:b/>
        </w:rPr>
        <w:t>1,09%</w:t>
      </w:r>
      <w:r>
        <w:t xml:space="preserve"> (correspondendo a </w:t>
      </w:r>
      <w:r>
        <w:rPr>
          <w:b/>
        </w:rPr>
        <w:t>1.996.410,00 Nm³</w:t>
      </w:r>
      <w:r>
        <w:t>). Embora o desvio esteja dentro dos limites operacionais aceitáveis, a robustez do balanço é fragilizada por inconsistências nos pontos de consumo.</w:t>
      </w:r>
    </w:p>
    <w:p>
      <w:pPr>
        <w:pStyle w:val="ListBullet"/>
      </w:pPr>
      <w:r>
        <w:t xml:space="preserve">  </w:t>
      </w:r>
      <w:r>
        <w:rPr>
          <w:b/>
        </w:rPr>
        <w:t>Concordância na Fronteira (City-Gate)</w:t>
      </w:r>
      <w:r>
        <w:t xml:space="preserve">: Identificou-se uma concordância metrológica de excelência entre a concessionária e a transportadora, com erro relativo médio de apenas </w:t>
      </w:r>
      <w:r>
        <w:rPr>
          <w:b/>
        </w:rPr>
        <w:t>-0,000009%</w:t>
      </w:r>
      <w:r>
        <w:t>, o que assegura total rastreabilidade no recebimento do gás.</w:t>
      </w:r>
    </w:p>
    <w:p>
      <w:pPr>
        <w:pStyle w:val="ListBullet"/>
      </w:pPr>
      <w:r>
        <w:t xml:space="preserve">  </w:t>
      </w:r>
      <w:r>
        <w:rPr>
          <w:b/>
        </w:rPr>
        <w:t>Falha Grave de Integridade de Dados</w:t>
      </w:r>
      <w:r>
        <w:t xml:space="preserve">: A </w:t>
      </w:r>
      <w:r>
        <w:rPr>
          <w:b/>
        </w:rPr>
        <w:t>Empresa D</w:t>
      </w:r>
      <w:r>
        <w:t xml:space="preserve"> apresentou uma perda de </w:t>
      </w:r>
      <w:r>
        <w:rPr>
          <w:b/>
        </w:rPr>
        <w:t>57,0%</w:t>
      </w:r>
      <w:r>
        <w:t xml:space="preserve"> dos registros horários durante o semestre. Esta lacuna impossibilita a fiscalização precisa do faturamento e compromete a segurança jurídica da medição neste ativo.</w:t>
      </w:r>
    </w:p>
    <w:p>
      <w:pPr>
        <w:pStyle w:val="ListBullet"/>
      </w:pPr>
      <w:r>
        <w:t xml:space="preserve">  </w:t>
      </w:r>
      <w:r>
        <w:rPr>
          <w:b/>
        </w:rPr>
        <w:t>Disparidade de Incertezas</w:t>
      </w:r>
      <w:r>
        <w:t xml:space="preserve">: Foi detectado um desequilíbrio entre a </w:t>
      </w:r>
      <w:r>
        <w:rPr>
          <w:b/>
        </w:rPr>
        <w:t>incerteza expandida</w:t>
      </w:r>
      <w:r>
        <w:t xml:space="preserve"> da entrada (</w:t>
      </w:r>
      <w:r>
        <w:rPr>
          <w:b/>
        </w:rPr>
        <w:t>1,52%</w:t>
      </w:r>
      <w:r>
        <w:t>) e a incerteza combinada das saídas (</w:t>
      </w:r>
      <w:r>
        <w:rPr>
          <w:b/>
        </w:rPr>
        <w:t>6,19%</w:t>
      </w:r>
      <w:r>
        <w:t>). Este elevado valor na saída indica que erros de medição nos clientes podem estar mascarando perdas físicas reais na rede.</w:t>
      </w:r>
    </w:p>
    <w:p>
      <w:pPr>
        <w:pStyle w:val="ListBullet"/>
      </w:pPr>
      <w:r>
        <w:t xml:space="preserve">  </w:t>
      </w:r>
      <w:r>
        <w:rPr>
          <w:b/>
        </w:rPr>
        <w:t>Inconformidades de Apropriação</w:t>
      </w:r>
      <w:r>
        <w:t xml:space="preserve">: As </w:t>
      </w:r>
      <w:r>
        <w:rPr>
          <w:b/>
        </w:rPr>
        <w:t>Empresas D e E</w:t>
      </w:r>
      <w:r>
        <w:t xml:space="preserve"> operaram com incertezas de </w:t>
      </w:r>
      <w:r>
        <w:rPr>
          <w:b/>
        </w:rPr>
        <w:t>3,58%</w:t>
      </w:r>
      <w:r>
        <w:t xml:space="preserve"> e </w:t>
      </w:r>
      <w:r>
        <w:rPr>
          <w:b/>
        </w:rPr>
        <w:t>3,05%</w:t>
      </w:r>
      <w:r>
        <w:t xml:space="preserve">, respectivamente, extrapolando o limite regulatório de apropriação de </w:t>
      </w:r>
      <w:r>
        <w:rPr>
          <w:b/>
        </w:rPr>
        <w:t>3,00%</w:t>
      </w:r>
      <w:r>
        <w:t>.</w:t>
      </w:r>
    </w:p>
    <w:p>
      <w:pPr>
        <w:pStyle w:val="ListBullet"/>
      </w:pPr>
      <w:r>
        <w:t xml:space="preserve">  </w:t>
      </w:r>
      <w:r>
        <w:rPr>
          <w:b/>
        </w:rPr>
        <w:t>Risco de Submedição por Baixa Vazão</w:t>
      </w:r>
      <w:r>
        <w:t xml:space="preserve">: Clientes como C, D e G apresentam um </w:t>
      </w:r>
      <w:r>
        <w:rPr>
          <w:b/>
        </w:rPr>
        <w:t>Fator de Carga (FC)</w:t>
      </w:r>
      <w:r>
        <w:t xml:space="preserve"> inferior a </w:t>
      </w:r>
      <w:r>
        <w:rPr>
          <w:b/>
        </w:rPr>
        <w:t>0,330</w:t>
      </w:r>
      <w:r>
        <w:t>, indicando que os medidores operam frequentemente próximos ao limite inferior de linearidade (</w:t>
      </w:r>
      <m:oMath>
        <m:sSub>
          <m:e>
            <m:r>
              <m:t>Q</m:t>
            </m:r>
          </m:e>
          <m:sub>
            <m:r>
              <m:t>min</m:t>
            </m:r>
          </m:sub>
        </m:sSub>
      </m:oMath>
      <w:r>
        <w:t>), onde o erro sistemático é maior.</w:t>
      </w:r>
    </w:p>
    <w:p>
      <w:pPr>
        <w:pStyle w:val="ListBullet"/>
      </w:pPr>
      <w:r>
        <w:t xml:space="preserve">  </w:t>
      </w:r>
      <w:r>
        <w:rPr>
          <w:b/>
        </w:rPr>
        <w:t>Estabilidade do Poder Calorífico</w:t>
      </w:r>
      <w:r>
        <w:t xml:space="preserve">: O </w:t>
      </w:r>
      <w:r>
        <w:rPr>
          <w:b/>
        </w:rPr>
        <w:t>PCS médio</w:t>
      </w:r>
      <w:r>
        <w:t xml:space="preserve"> de </w:t>
      </w:r>
      <w:r>
        <w:rPr>
          <w:b/>
        </w:rPr>
        <w:t>9.538,92 kcal/Nm³</w:t>
      </w:r>
      <w:r>
        <w:t xml:space="preserve"> manteve-se estável, com uma correlação volume-energia de </w:t>
      </w:r>
      <w:r>
        <w:rPr>
          <w:b/>
        </w:rPr>
        <w:t>0,999999</w:t>
      </w:r>
      <w:r>
        <w:t>, confirmando que o faturamento energético reflete o potencial termodinâmico do gás entregue.</w:t>
      </w:r>
    </w:p>
    <w:p>
      <w:pPr>
        <w:pStyle w:val="Heading3"/>
      </w:pPr>
      <w:r>
        <w:t>Resumo dos Dados Operacionais</w:t>
      </w:r>
    </w:p>
    <w:tbl>
      <w:tblPr>
        <w:tblStyle w:val="TableGrid"/>
        <w:tblW w:type="auto" w:w="0"/>
        <w:jc w:val="center"/>
        <w:tblLook w:firstColumn="1" w:firstRow="1" w:lastColumn="0" w:lastRow="0" w:noHBand="0" w:noVBand="1" w:val="04A0"/>
      </w:tblPr>
      <w:tblGrid>
        <w:gridCol w:w="3041"/>
        <w:gridCol w:w="3041"/>
        <w:gridCol w:w="3041"/>
      </w:tblGrid>
      <w:tr>
        <w:tc>
          <w:tcPr>
            <w:tcW w:type="dxa" w:w="3041"/>
            <w:shd w:fill="1A237E"/>
          </w:tcPr>
          <w:p>
            <w:pPr>
              <w:jc w:val="center"/>
            </w:pPr>
            <w:r>
              <w:rPr>
                <w:b/>
                <w:color w:val="FFFFFF"/>
                <w:sz w:val="18"/>
              </w:rPr>
              <w:t>Indicador</w:t>
            </w:r>
          </w:p>
        </w:tc>
        <w:tc>
          <w:tcPr>
            <w:tcW w:type="dxa" w:w="3041"/>
            <w:shd w:fill="1A237E"/>
          </w:tcPr>
          <w:p>
            <w:pPr>
              <w:jc w:val="center"/>
            </w:pPr>
            <w:r>
              <w:rPr>
                <w:b/>
                <w:color w:val="FFFFFF"/>
                <w:sz w:val="18"/>
              </w:rPr>
              <w:t>Valor Apurado</w:t>
            </w:r>
          </w:p>
        </w:tc>
        <w:tc>
          <w:tcPr>
            <w:tcW w:type="dxa" w:w="3041"/>
            <w:shd w:fill="1A237E"/>
          </w:tcPr>
          <w:p>
            <w:pPr>
              <w:jc w:val="center"/>
            </w:pPr>
            <w:r>
              <w:rPr>
                <w:b/>
                <w:color w:val="FFFFFF"/>
                <w:sz w:val="18"/>
              </w:rPr>
              <w:t>Unidade</w:t>
            </w:r>
          </w:p>
        </w:tc>
      </w:tr>
      <w:tr>
        <w:tc>
          <w:tcPr>
            <w:tcW w:type="dxa" w:w="3041"/>
            <w:shd w:fill="F5F5F5"/>
          </w:tcPr>
          <w:p>
            <w:r>
              <w:rPr>
                <w:sz w:val="18"/>
              </w:rPr>
              <w:t>Volume Total de Entrada</w:t>
            </w:r>
          </w:p>
        </w:tc>
        <w:tc>
          <w:tcPr>
            <w:tcW w:type="dxa" w:w="3041"/>
            <w:shd w:fill="F5F5F5"/>
          </w:tcPr>
          <w:p>
            <w:r>
              <w:rPr>
                <w:sz w:val="18"/>
              </w:rPr>
              <w:t>182.919.850,00</w:t>
            </w:r>
          </w:p>
        </w:tc>
        <w:tc>
          <w:tcPr>
            <w:tcW w:type="dxa" w:w="3041"/>
            <w:shd w:fill="F5F5F5"/>
          </w:tcPr>
          <w:p>
            <w:r>
              <w:rPr>
                <w:sz w:val="18"/>
              </w:rPr>
              <w:t>Nm³</w:t>
            </w:r>
          </w:p>
        </w:tc>
      </w:tr>
      <w:tr>
        <w:tc>
          <w:tcPr>
            <w:tcW w:type="dxa" w:w="3041"/>
          </w:tcPr>
          <w:p>
            <w:r>
              <w:rPr>
                <w:sz w:val="18"/>
              </w:rPr>
              <w:t>Volume Total de Saída</w:t>
            </w:r>
          </w:p>
        </w:tc>
        <w:tc>
          <w:tcPr>
            <w:tcW w:type="dxa" w:w="3041"/>
          </w:tcPr>
          <w:p>
            <w:r>
              <w:rPr>
                <w:sz w:val="18"/>
              </w:rPr>
              <w:t>180.923.440,00</w:t>
            </w:r>
          </w:p>
        </w:tc>
        <w:tc>
          <w:tcPr>
            <w:tcW w:type="dxa" w:w="3041"/>
          </w:tcPr>
          <w:p>
            <w:r>
              <w:rPr>
                <w:sz w:val="18"/>
              </w:rPr>
              <w:t>Nm³</w:t>
            </w:r>
          </w:p>
        </w:tc>
      </w:tr>
      <w:tr>
        <w:tc>
          <w:tcPr>
            <w:tcW w:type="dxa" w:w="3041"/>
            <w:shd w:fill="F5F5F5"/>
          </w:tcPr>
          <w:p>
            <w:r>
              <w:rPr>
                <w:sz w:val="18"/>
              </w:rPr>
              <w:t>Energia Total Entregue</w:t>
            </w:r>
          </w:p>
        </w:tc>
        <w:tc>
          <w:tcPr>
            <w:tcW w:type="dxa" w:w="3041"/>
            <w:shd w:fill="F5F5F5"/>
          </w:tcPr>
          <w:p>
            <w:r>
              <w:rPr>
                <w:sz w:val="18"/>
              </w:rPr>
              <w:t>1.745.130,00</w:t>
            </w:r>
          </w:p>
        </w:tc>
        <w:tc>
          <w:tcPr>
            <w:tcW w:type="dxa" w:w="3041"/>
            <w:shd w:fill="F5F5F5"/>
          </w:tcPr>
          <w:p>
            <w:r>
              <w:rPr>
                <w:sz w:val="18"/>
              </w:rPr>
              <w:t>Gcal</w:t>
            </w:r>
          </w:p>
        </w:tc>
      </w:tr>
      <w:tr>
        <w:tc>
          <w:tcPr>
            <w:tcW w:type="dxa" w:w="3041"/>
          </w:tcPr>
          <w:p>
            <w:r>
              <w:rPr>
                <w:sz w:val="18"/>
              </w:rPr>
              <w:t>Diferença Percentual (GNC)</w:t>
            </w:r>
          </w:p>
        </w:tc>
        <w:tc>
          <w:tcPr>
            <w:tcW w:type="dxa" w:w="3041"/>
          </w:tcPr>
          <w:p>
            <w:r>
              <w:rPr>
                <w:sz w:val="18"/>
              </w:rPr>
              <w:t>1,09</w:t>
            </w:r>
          </w:p>
        </w:tc>
        <w:tc>
          <w:tcPr>
            <w:tcW w:type="dxa" w:w="3041"/>
          </w:tcPr>
          <w:p>
            <w:r>
              <w:rPr>
                <w:sz w:val="18"/>
              </w:rPr>
              <w:t>%</w:t>
            </w:r>
          </w:p>
        </w:tc>
      </w:tr>
      <w:tr>
        <w:tc>
          <w:tcPr>
            <w:tcW w:type="dxa" w:w="3041"/>
            <w:shd w:fill="F5F5F5"/>
          </w:tcPr>
          <w:p>
            <w:r>
              <w:rPr>
                <w:sz w:val="18"/>
              </w:rPr>
              <w:t>Incerteza Expandida (Entrada)</w:t>
            </w:r>
          </w:p>
        </w:tc>
        <w:tc>
          <w:tcPr>
            <w:tcW w:type="dxa" w:w="3041"/>
            <w:shd w:fill="F5F5F5"/>
          </w:tcPr>
          <w:p>
            <w:r>
              <w:rPr>
                <w:sz w:val="18"/>
              </w:rPr>
              <w:t>1,52</w:t>
            </w:r>
          </w:p>
        </w:tc>
        <w:tc>
          <w:tcPr>
            <w:tcW w:type="dxa" w:w="3041"/>
            <w:shd w:fill="F5F5F5"/>
          </w:tcPr>
          <w:p>
            <w:r>
              <w:rPr>
                <w:sz w:val="18"/>
              </w:rPr>
              <w:t>%</w:t>
            </w:r>
          </w:p>
        </w:tc>
      </w:tr>
      <w:tr>
        <w:tc>
          <w:tcPr>
            <w:tcW w:type="dxa" w:w="3041"/>
          </w:tcPr>
          <w:p>
            <w:r>
              <w:rPr>
                <w:sz w:val="18"/>
              </w:rPr>
              <w:t>Incerteza Expandida (Saída)</w:t>
            </w:r>
          </w:p>
        </w:tc>
        <w:tc>
          <w:tcPr>
            <w:tcW w:type="dxa" w:w="3041"/>
          </w:tcPr>
          <w:p>
            <w:r>
              <w:rPr>
                <w:sz w:val="18"/>
              </w:rPr>
              <w:t>6,19</w:t>
            </w:r>
          </w:p>
        </w:tc>
        <w:tc>
          <w:tcPr>
            <w:tcW w:type="dxa" w:w="3041"/>
          </w:tcPr>
          <w:p>
            <w:r>
              <w:rPr>
                <w:sz w:val="18"/>
              </w:rPr>
              <w:t>%</w:t>
            </w:r>
          </w:p>
        </w:tc>
      </w:tr>
    </w:tbl>
    <w:p/>
    <w:p>
      <w:pPr>
        <w:pStyle w:val="Heading3"/>
      </w:pPr>
      <w:r>
        <w:t>4. Conclusão Geral</w:t>
      </w:r>
    </w:p>
    <w:p>
      <w:r>
        <w:t xml:space="preserve">A auditoria técnica conclui pela </w:t>
      </w:r>
      <w:r>
        <w:rPr>
          <w:b/>
        </w:rPr>
        <w:t>REGULARIDADE PARCIAL</w:t>
      </w:r>
      <w:r>
        <w:t xml:space="preserve"> das condições de operação do distrito. Embora o balanço de massa consolidado apresente fechamento estatisticamente aceitável e o cálculo de energia seja robusto, a </w:t>
      </w:r>
      <w:r>
        <w:rPr>
          <w:b/>
        </w:rPr>
        <w:t>não conformidade crítica</w:t>
      </w:r>
      <w:r>
        <w:t xml:space="preserve"> relacionada à perda de dados na Empresa D e às incertezas excessivas nas saídas exige intervenção imediata. É imperativo que a concessionária regularize a telemetria e recalibre os sistemas de medição periféricos para reduzir o risco metrológico global e garantir a integridade fiscal do sistema.</w:t>
      </w:r>
    </w:p>
    <w:p>
      <w:r>
        <w:rPr>
          <w:b/>
        </w:rPr>
        <w:t>Parecer Final</w:t>
      </w:r>
      <w:r>
        <w:t>: Operação aceitável sob o ponto de vista global, mas tecnicamente reprovada nos requisitos de continuidade de dados e precisão individual de entrega.</w:t>
      </w:r>
    </w:p>
    <w:p>
      <w:r>
        <w:br w:type="page"/>
      </w:r>
    </w:p>
    <w:p>
      <w:pPr>
        <w:pStyle w:val="Heading1"/>
      </w:pPr>
      <w:r>
        <w:t>1. Visão Geral do Distrito e Dados Disponíveis</w:t>
      </w:r>
    </w:p>
    <w:p>
      <w:r>
        <w:t xml:space="preserve">Este capítulo apresenta a análise técnica detalhada das condições operacionais e da integridade metrológica de um distrito de distribuição de gás natural, abrangendo o período de 01/04/2025 a 30/09/2025. A auditoria fundamenta-se na avaliação do balanço de massa e na conformidade dos sistemas de medição de transferência de custódia, confrontando o volume total de </w:t>
      </w:r>
      <w:r>
        <w:rPr>
          <w:b/>
        </w:rPr>
        <w:t>182.900.000,00 Nm³</w:t>
      </w:r>
      <w:r>
        <w:t xml:space="preserve"> recebido no </w:t>
      </w:r>
      <w:r>
        <w:rPr>
          <w:b/>
        </w:rPr>
        <w:t>City-Gate</w:t>
      </w:r>
      <w:r>
        <w:t xml:space="preserve"> com o consumo registrado nos sete clientes industriais da malha. A relevância deste estudo reside na garantia da justiça comercial e na precisão da base de cálculo para tributos e encargos regulatórios, utilizando metodologias estatísticas consolidadas como o </w:t>
      </w:r>
      <w:r>
        <w:rPr>
          <w:b/>
        </w:rPr>
        <w:t>GUM</w:t>
      </w:r>
      <w:r>
        <w:t xml:space="preserve"> e o método </w:t>
      </w:r>
      <w:r>
        <w:rPr>
          <w:b/>
        </w:rPr>
        <w:t>RSS</w:t>
      </w:r>
      <w:r>
        <w:t xml:space="preserve"> para a combinação de incertezas.</w:t>
      </w:r>
    </w:p>
    <w:p>
      <w:r>
        <w:t xml:space="preserve">Os principais achados indicam uma operação complexa com concentração de demanda nos grandes consumidores industriais, onde as Empresas A e B representam, somadas, </w:t>
      </w:r>
      <w:r>
        <w:rPr>
          <w:b/>
        </w:rPr>
        <w:t>81,6%</w:t>
      </w:r>
      <w:r>
        <w:t xml:space="preserve"> do volume total escoado. Embora a infraestrutura de medição de entrada possua redundância por meio dos </w:t>
      </w:r>
      <w:r>
        <w:rPr>
          <w:b/>
        </w:rPr>
        <w:t>Tramos 101 e 501</w:t>
      </w:r>
      <w:r>
        <w:t xml:space="preserve">, a análise da base de dados revelou disparidades significativas na qualidade da informação coletada entre os diversos pontos de entrega. A identificação de uma diferença de </w:t>
      </w:r>
      <w:r>
        <w:rPr>
          <w:b/>
        </w:rPr>
        <w:t>1,09%</w:t>
      </w:r>
      <w:r>
        <w:t xml:space="preserve"> no balanço consolidado, embora aparentemente baixa, exige uma investigação rigorosa sobre as incertezas expandidas de cada medidor e a confiabilidade dos registros históricos fornecidos pela concessionária.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86400" cy="2992582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strutura_distrito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9258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i/>
          <w:color w:val="666666"/>
          <w:sz w:val="18"/>
        </w:rPr>
        <w:t>Diagrama: Estrutura do Distrito de Distribuição</w:t>
      </w:r>
    </w:p>
    <w:p/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86400" cy="3062177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luxo_auditoria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6217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i/>
          <w:color w:val="666666"/>
          <w:sz w:val="18"/>
        </w:rPr>
        <w:t>Diagrama: Fluxo da Auditoria Técnica</w:t>
      </w:r>
    </w:p>
    <w:p/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86400" cy="2992582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ocesso_analis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9258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i/>
          <w:color w:val="666666"/>
          <w:sz w:val="18"/>
        </w:rPr>
        <w:t>Diagrama: Processo de Análise de Dados</w:t>
      </w:r>
    </w:p>
    <w:p/>
    <w:p>
      <w:pPr>
        <w:pStyle w:val="Heading2"/>
      </w:pPr>
      <w:r>
        <w:t>Fundamentação Teórica</w:t>
      </w:r>
    </w:p>
    <w:p>
      <w:r>
        <w:t>Como auditor técnico desta Agência Regulatória, submeto o presente relatório de auditoria referente ao período de 01/04/2025 a 30/09/2025. Este capítulo estabelece as premissas teóricas, a caracterização da infraestrutura do distrito de distribuição e a avaliação da integridade da base de dados fornecida pela concessionária.</w:t>
      </w:r>
    </w:p>
    <w:p>
      <w:pPr>
        <w:pStyle w:val="Heading3"/>
      </w:pPr>
      <w:r>
        <w:t>1.1. Fundamentação Teórica e Importância Regulatória</w:t>
      </w:r>
    </w:p>
    <w:p>
      <w:r>
        <w:t xml:space="preserve">A </w:t>
      </w:r>
      <w:r>
        <w:rPr>
          <w:b/>
        </w:rPr>
        <w:t>análise de condições de operação</w:t>
      </w:r>
      <w:r>
        <w:t xml:space="preserve"> de um distrito de distribuição de gás natural consiste na verificação técnica sistemática da adequação metrológica e operacional de todos os sistemas de medição que compõem a malha. O objetivo primordial é assegurar que o gás movimentado seja quantificado com a máxima precisão, garantindo a </w:t>
      </w:r>
      <w:r>
        <w:rPr>
          <w:b/>
        </w:rPr>
        <w:t>integridade fiscal</w:t>
      </w:r>
      <w:r>
        <w:t xml:space="preserve"> e a conformidade com as normas vigentes, como as portarias da Agência Nacional do Petróleo, Gás Natural e Biocombustíveis (ANP) e as diretrizes do INMETRO.</w:t>
      </w:r>
    </w:p>
    <w:p>
      <w:r>
        <w:t>Do ponto de vista regulatório, essa análise é indispensável para:</w:t>
      </w:r>
    </w:p>
    <w:p>
      <w:pPr>
        <w:pStyle w:val="ListBullet"/>
      </w:pPr>
      <w:r>
        <w:t xml:space="preserve">  </w:t>
      </w:r>
      <w:r>
        <w:rPr>
          <w:b/>
        </w:rPr>
        <w:t>Garantia da Justeza Comercial</w:t>
      </w:r>
      <w:r>
        <w:t xml:space="preserve">: Assegurar que os volumes faturados aos clientes finais e os volumes entregues pela transportadora no </w:t>
      </w:r>
      <w:r>
        <w:rPr>
          <w:b/>
        </w:rPr>
        <w:t>City-Gate</w:t>
      </w:r>
      <w:r>
        <w:t xml:space="preserve"> correspondam à realidade física do escoamento.</w:t>
      </w:r>
    </w:p>
    <w:p>
      <w:pPr>
        <w:pStyle w:val="ListBullet"/>
      </w:pPr>
      <w:r>
        <w:t xml:space="preserve">  </w:t>
      </w:r>
      <w:r>
        <w:rPr>
          <w:b/>
        </w:rPr>
        <w:t>Fiscalização de Royalties e Impostos</w:t>
      </w:r>
      <w:r>
        <w:t>: Validar a base de cálculo para a arrecadação tributária e participações governamentais.</w:t>
      </w:r>
    </w:p>
    <w:p>
      <w:pPr>
        <w:pStyle w:val="ListBullet"/>
      </w:pPr>
      <w:r>
        <w:t xml:space="preserve">  </w:t>
      </w:r>
      <w:r>
        <w:rPr>
          <w:b/>
        </w:rPr>
        <w:t>Segurança Operacional</w:t>
      </w:r>
      <w:r>
        <w:t>: Monitorar se os limites de pressão e vazão dos equipamentos estão sendo respeitados.</w:t>
      </w:r>
    </w:p>
    <w:p>
      <w:r>
        <w:t xml:space="preserve">O </w:t>
      </w:r>
      <w:r>
        <w:rPr>
          <w:b/>
        </w:rPr>
        <w:t>Balanço de Gás</w:t>
      </w:r>
      <w:r>
        <w:t xml:space="preserve"> (ou balanço de massa) é a ferramenta analítica central deste processo. Ele baseia-se na Lei da Conservação das Massas, confrontando o somatório das entradas com o somatório das saídas do distrito. Tecnicamente, a diferença entre a entrada e a saída é denominada </w:t>
      </w:r>
      <w:r>
        <w:rPr>
          <w:b/>
        </w:rPr>
        <w:t>Perda Aparente</w:t>
      </w:r>
      <w:r>
        <w:t xml:space="preserve">, que engloba tanto as incertezas de medição inerentes aos instrumentos quanto possíveis vazamentos ou falhas de registro. O balanço é considerado aceitável quando a diferença percentual situa-se dentro da </w:t>
      </w:r>
      <w:r>
        <w:rPr>
          <w:b/>
        </w:rPr>
        <w:t>incerteza expandida</w:t>
      </w:r>
      <w:r>
        <w:t xml:space="preserve"> combinada do sistema.</w:t>
      </w:r>
    </w:p>
    <w:p>
      <w:pPr>
        <w:pStyle w:val="Heading3"/>
      </w:pPr>
      <w:r>
        <w:t>1.2. Caracterização do Distrito e Estrutura de Dados</w:t>
      </w:r>
    </w:p>
    <w:p>
      <w:r>
        <w:t>O distrito de distribuição sob auditoria apresenta uma configuração de alta complexidade, operando com uma vazão de entrada significativa e atendendo a uma base diversificada de clientes industriais.</w:t>
      </w:r>
    </w:p>
    <w:p>
      <w:pPr>
        <w:pStyle w:val="Heading4"/>
      </w:pPr>
      <w:r>
        <w:t>1.2.1. Pontos de Medição e Configuração</w:t>
      </w:r>
    </w:p>
    <w:p>
      <w:r>
        <w:t>A infraestrutura é composta por:</w:t>
      </w:r>
    </w:p>
    <w:p>
      <w:pPr>
        <w:pStyle w:val="ListBullet"/>
      </w:pPr>
      <w:r>
        <w:t xml:space="preserve">  </w:t>
      </w:r>
      <w:r>
        <w:rPr>
          <w:b/>
        </w:rPr>
        <w:t>Ponto de Entrada</w:t>
      </w:r>
      <w:r>
        <w:t>: Uma Estação de Recebimento (City-Gate) equipada com dois tramos de medição em paralelo (</w:t>
      </w:r>
      <w:r>
        <w:rPr>
          <w:b/>
        </w:rPr>
        <w:t>Tramo 101</w:t>
      </w:r>
      <w:r>
        <w:t xml:space="preserve"> e </w:t>
      </w:r>
      <w:r>
        <w:rPr>
          <w:b/>
        </w:rPr>
        <w:t>Tramo 501</w:t>
      </w:r>
      <w:r>
        <w:t>), permitindo redundância e flexibilidade operacional.</w:t>
      </w:r>
    </w:p>
    <w:p>
      <w:pPr>
        <w:pStyle w:val="ListBullet"/>
      </w:pPr>
      <w:r>
        <w:t xml:space="preserve">  </w:t>
      </w:r>
      <w:r>
        <w:rPr>
          <w:b/>
        </w:rPr>
        <w:t>Pontos de Saída</w:t>
      </w:r>
      <w:r>
        <w:t>: Sete clientes industriais, identificados como Empresas A, B, C, D, E, F e G, cada uma dotada de seu respectivo sistema de medição para transferência de custódia.</w:t>
      </w:r>
    </w:p>
    <w:p>
      <w:pPr>
        <w:pStyle w:val="Heading4"/>
      </w:pPr>
      <w:r>
        <w:t>1.2.2. Avaliação da Base de Dados</w:t>
      </w:r>
    </w:p>
    <w:p>
      <w:r>
        <w:t>A auditoria processou uma planilha eletrônica contendo 14 abas de dados, totalizando 183 dias de operação. A estrutura de dados apresenta diferentes granularidades:</w:t>
      </w:r>
    </w:p>
    <w:p>
      <w:pPr>
        <w:pStyle w:val="ListBullet"/>
      </w:pPr>
      <w:r>
        <w:t xml:space="preserve">  </w:t>
      </w:r>
      <w:r>
        <w:rPr>
          <w:b/>
        </w:rPr>
        <w:t>Dados de Entrada</w:t>
      </w:r>
      <w:r>
        <w:t>: Registros diários de volume em condições normais (</w:t>
      </w:r>
      <m:oMath>
        <m:r>
          <m:t>N</m:t>
        </m:r>
        <m:sSup>
          <m:e>
            <m:r>
              <m:t>m</m:t>
            </m:r>
          </m:e>
          <m:sup>
            <m:r>
              <m:t>3</m:t>
            </m:r>
          </m:sup>
        </m:sSup>
      </m:oMath>
      <w:r>
        <w:t xml:space="preserve">), </w:t>
      </w:r>
      <w:r>
        <w:rPr>
          <w:b/>
        </w:rPr>
        <w:t>Poder Calorífico Superior (PCS)</w:t>
      </w:r>
      <w:r>
        <w:t xml:space="preserve"> em </w:t>
      </w:r>
      <m:oMath>
        <m:r>
          <m:t>kcal/N</m:t>
        </m:r>
        <m:sSup>
          <m:e>
            <m:r>
              <m:t>m</m:t>
            </m:r>
          </m:e>
          <m:sup>
            <m:r>
              <m:t>3</m:t>
            </m:r>
          </m:sup>
        </m:sSup>
      </m:oMath>
      <w:r>
        <w:t xml:space="preserve"> e energia total em </w:t>
      </w:r>
      <m:oMath>
        <m:r>
          <m:t>kcal</m:t>
        </m:r>
      </m:oMath>
      <w:r>
        <w:t>.</w:t>
      </w:r>
    </w:p>
    <w:p>
      <w:pPr>
        <w:pStyle w:val="ListBullet"/>
      </w:pPr>
      <w:r>
        <w:t xml:space="preserve">  </w:t>
      </w:r>
      <w:r>
        <w:rPr>
          <w:b/>
        </w:rPr>
        <w:t>Dados de Saída (Clientes)</w:t>
      </w:r>
      <w:r>
        <w:t>: Registros horários de vazão (</w:t>
      </w:r>
      <m:oMath>
        <m:f>
          <m:fPr>
            <m:type m:val="lin"/>
          </m:fPr>
          <m:num>
            <m:sSup>
              <m:e>
                <m:r>
                  <m:t>m</m:t>
                </m:r>
              </m:e>
              <m:sup>
                <m:r>
                  <m:t>3</m:t>
                </m:r>
              </m:sup>
            </m:sSup>
          </m:num>
          <m:den>
            <m:r>
              <m:t>h</m:t>
            </m:r>
          </m:den>
        </m:f>
      </m:oMath>
      <w:r>
        <w:t>), pressão absoluta (</w:t>
      </w:r>
      <m:oMath>
        <m:r>
          <m:t>ba</m:t>
        </m:r>
        <m:sSub>
          <m:e>
            <m:r>
              <m:t>r</m:t>
            </m:r>
          </m:e>
          <m:sub>
            <m:r>
              <m:t>a</m:t>
            </m:r>
          </m:sub>
        </m:sSub>
      </m:oMath>
      <w:r>
        <w:t>) e temperatura (</w:t>
      </w:r>
      <m:oMath>
        <m:sSup>
          <m:e>
            <m:r>
              <m:t/>
            </m:r>
          </m:e>
          <m:sup>
            <m:r>
              <m:t>∘</m:t>
            </m:r>
          </m:sup>
        </m:sSup>
        <m:r>
          <m:t>C</m:t>
        </m:r>
      </m:oMath>
      <w:r>
        <w:t>).</w:t>
      </w:r>
    </w:p>
    <w:p>
      <w:r>
        <w:rPr>
          <w:b/>
        </w:rPr>
        <w:t>Nota Crítica de Auditoria</w:t>
      </w:r>
      <w:r>
        <w:t xml:space="preserve">: Durante a fase de validação, identificou-se que a </w:t>
      </w:r>
      <w:r>
        <w:rPr>
          <w:b/>
        </w:rPr>
        <w:t>Empresa D</w:t>
      </w:r>
      <w:r>
        <w:t xml:space="preserve"> apresenta uma falha severa de integridade, com </w:t>
      </w:r>
      <w:r>
        <w:rPr>
          <w:b/>
        </w:rPr>
        <w:t>57% de registros horários faltantes (NaN)</w:t>
      </w:r>
      <w:r>
        <w:t>. Este fato compromete diretamente a precisão do balanço de massa diário e exige o uso de técnicas de estimativa ou a exclusão do ponto para análises de curto prazo, sob risco de distorcer o parecer regulatório.</w:t>
      </w:r>
    </w:p>
    <w:tbl>
      <w:tblPr>
        <w:tblStyle w:val="TableGrid"/>
        <w:tblW w:type="auto" w:w="0"/>
        <w:jc w:val="center"/>
        <w:tblLook w:firstColumn="1" w:firstRow="1" w:lastColumn="0" w:lastRow="0" w:noHBand="0" w:noVBand="1" w:val="04A0"/>
      </w:tblPr>
      <w:tblGrid>
        <w:gridCol w:w="2280"/>
        <w:gridCol w:w="2280"/>
        <w:gridCol w:w="2280"/>
        <w:gridCol w:w="2280"/>
      </w:tblGrid>
      <w:tr>
        <w:tc>
          <w:tcPr>
            <w:tcW w:type="dxa" w:w="2280"/>
            <w:shd w:fill="1A237E"/>
          </w:tcPr>
          <w:p>
            <w:pPr>
              <w:jc w:val="center"/>
            </w:pPr>
            <w:r>
              <w:rPr>
                <w:b/>
                <w:color w:val="FFFFFF"/>
                <w:sz w:val="18"/>
              </w:rPr>
              <w:t>Componente</w:t>
            </w:r>
          </w:p>
        </w:tc>
        <w:tc>
          <w:tcPr>
            <w:tcW w:type="dxa" w:w="2280"/>
            <w:shd w:fill="1A237E"/>
          </w:tcPr>
          <w:p>
            <w:pPr>
              <w:jc w:val="center"/>
            </w:pPr>
            <w:r>
              <w:rPr>
                <w:b/>
                <w:color w:val="FFFFFF"/>
                <w:sz w:val="18"/>
              </w:rPr>
              <w:t>Tipo de Dado</w:t>
            </w:r>
          </w:p>
        </w:tc>
        <w:tc>
          <w:tcPr>
            <w:tcW w:type="dxa" w:w="2280"/>
            <w:shd w:fill="1A237E"/>
          </w:tcPr>
          <w:p>
            <w:pPr>
              <w:jc w:val="center"/>
            </w:pPr>
            <w:r>
              <w:rPr>
                <w:b/>
                <w:color w:val="FFFFFF"/>
                <w:sz w:val="18"/>
              </w:rPr>
              <w:t>Frequência</w:t>
            </w:r>
          </w:p>
        </w:tc>
        <w:tc>
          <w:tcPr>
            <w:tcW w:type="dxa" w:w="2280"/>
            <w:shd w:fill="1A237E"/>
          </w:tcPr>
          <w:p>
            <w:pPr>
              <w:jc w:val="center"/>
            </w:pPr>
            <w:r>
              <w:rPr>
                <w:b/>
                <w:color w:val="FFFFFF"/>
                <w:sz w:val="18"/>
              </w:rPr>
              <w:t>Pontos de Atenção</w:t>
            </w:r>
          </w:p>
        </w:tc>
      </w:tr>
      <w:tr>
        <w:tc>
          <w:tcPr>
            <w:tcW w:type="dxa" w:w="2280"/>
            <w:shd w:fill="F5F5F5"/>
          </w:tcPr>
          <w:p>
            <w:r>
              <w:rPr>
                <w:sz w:val="18"/>
              </w:rPr>
              <w:t>Entrada (City-Gate)</w:t>
            </w:r>
          </w:p>
        </w:tc>
        <w:tc>
          <w:tcPr>
            <w:tcW w:type="dxa" w:w="2280"/>
            <w:shd w:fill="F5F5F5"/>
          </w:tcPr>
          <w:p>
            <w:r>
              <w:rPr>
                <w:sz w:val="18"/>
              </w:rPr>
              <w:t>Volume, PCS, Energia</w:t>
            </w:r>
          </w:p>
        </w:tc>
        <w:tc>
          <w:tcPr>
            <w:tcW w:type="dxa" w:w="2280"/>
            <w:shd w:fill="F5F5F5"/>
          </w:tcPr>
          <w:p>
            <w:r>
              <w:rPr>
                <w:sz w:val="18"/>
              </w:rPr>
              <w:t>Diária</w:t>
            </w:r>
          </w:p>
        </w:tc>
        <w:tc>
          <w:tcPr>
            <w:tcW w:type="dxa" w:w="2280"/>
            <w:shd w:fill="F5F5F5"/>
          </w:tcPr>
          <w:p>
            <w:r>
              <w:rPr>
                <w:sz w:val="18"/>
              </w:rPr>
              <w:t>Comparação Concessionária vs Transportadora</w:t>
            </w:r>
          </w:p>
        </w:tc>
      </w:tr>
      <w:tr>
        <w:tc>
          <w:tcPr>
            <w:tcW w:type="dxa" w:w="2280"/>
          </w:tcPr>
          <w:p>
            <w:r>
              <w:rPr>
                <w:sz w:val="18"/>
              </w:rPr>
              <w:t>Saídas (7 Clientes)</w:t>
            </w:r>
          </w:p>
        </w:tc>
        <w:tc>
          <w:tcPr>
            <w:tcW w:type="dxa" w:w="2280"/>
          </w:tcPr>
          <w:p>
            <w:r>
              <w:rPr>
                <w:sz w:val="18"/>
              </w:rPr>
              <w:t>Vazão, P, T</w:t>
            </w:r>
          </w:p>
        </w:tc>
        <w:tc>
          <w:tcPr>
            <w:tcW w:type="dxa" w:w="2280"/>
          </w:tcPr>
          <w:p>
            <w:r>
              <w:rPr>
                <w:sz w:val="18"/>
              </w:rPr>
              <w:t>Horária</w:t>
            </w:r>
          </w:p>
        </w:tc>
        <w:tc>
          <w:tcPr>
            <w:tcW w:type="dxa" w:w="2280"/>
          </w:tcPr>
          <w:p>
            <w:r>
              <w:rPr>
                <w:sz w:val="18"/>
              </w:rPr>
              <w:t>Empresa D: 57% de perda de dados</w:t>
            </w:r>
          </w:p>
        </w:tc>
      </w:tr>
      <w:tr>
        <w:tc>
          <w:tcPr>
            <w:tcW w:type="dxa" w:w="2280"/>
            <w:shd w:fill="F5F5F5"/>
          </w:tcPr>
          <w:p>
            <w:r>
              <w:rPr>
                <w:sz w:val="18"/>
              </w:rPr>
              <w:t>Período</w:t>
            </w:r>
          </w:p>
        </w:tc>
        <w:tc>
          <w:tcPr>
            <w:tcW w:type="dxa" w:w="2280"/>
            <w:shd w:fill="F5F5F5"/>
          </w:tcPr>
          <w:p>
            <w:r>
              <w:rPr>
                <w:sz w:val="18"/>
              </w:rPr>
              <w:t>01/04/2025 a 30/09/2025</w:t>
            </w:r>
          </w:p>
        </w:tc>
        <w:tc>
          <w:tcPr>
            <w:tcW w:type="dxa" w:w="2280"/>
            <w:shd w:fill="F5F5F5"/>
          </w:tcPr>
          <w:p>
            <w:r>
              <w:rPr>
                <w:sz w:val="18"/>
              </w:rPr>
              <w:t>183 dias</w:t>
            </w:r>
          </w:p>
        </w:tc>
        <w:tc>
          <w:tcPr>
            <w:tcW w:type="dxa" w:w="2280"/>
            <w:shd w:fill="F5F5F5"/>
          </w:tcPr>
          <w:p>
            <w:r>
              <w:rPr>
                <w:sz w:val="18"/>
              </w:rPr>
              <w:t>Cobertura integral do semestre</w:t>
            </w:r>
          </w:p>
        </w:tc>
      </w:tr>
    </w:tbl>
    <w:p/>
    <w:p>
      <w:pPr>
        <w:pStyle w:val="Heading3"/>
      </w:pPr>
      <w:r>
        <w:t>1.3. Análise dos Diagramas Técnicos</w:t>
      </w:r>
    </w:p>
    <w:p>
      <w:r>
        <w:t>A metodologia de auditoria e a configuração física do sistema são detalhadas nos diagramas anexos, que fundamentam o fluxo de trabalho adotado.</w:t>
      </w:r>
    </w:p>
    <w:p>
      <w:pPr>
        <w:pStyle w:val="ListBullet"/>
      </w:pPr>
      <w:r>
        <w:t xml:space="preserve">  </w:t>
      </w:r>
      <w:r>
        <w:rPr>
          <w:b/>
        </w:rPr>
        <w:t>Diagrama 1 (Estrutura do Distrito de Distribuição)</w:t>
      </w:r>
      <w:r>
        <w:t xml:space="preserve">: Ilustra a topologia física do sistema. Observa-se a entrada total de </w:t>
      </w:r>
      <w:r>
        <w:rPr>
          <w:b/>
        </w:rPr>
        <w:t>182,9 milhões de $Nm^3$</w:t>
      </w:r>
      <w:r>
        <w:t xml:space="preserve"> pela Estação de Recebimento. O fluxo é distribuído majoritariamente para a </w:t>
      </w:r>
      <w:r>
        <w:rPr>
          <w:b/>
        </w:rPr>
        <w:t>Empresa A (57,5%)</w:t>
      </w:r>
      <w:r>
        <w:t xml:space="preserve"> e </w:t>
      </w:r>
      <w:r>
        <w:rPr>
          <w:b/>
        </w:rPr>
        <w:t>Empresa B (24,1%)</w:t>
      </w:r>
      <w:r>
        <w:t xml:space="preserve">. O diagrama evidencia um balanço consolidado com saída total de </w:t>
      </w:r>
      <w:r>
        <w:rPr>
          <w:b/>
        </w:rPr>
        <w:t>180,9 milhões de $Nm^3$</w:t>
      </w:r>
      <w:r>
        <w:t xml:space="preserve">, resultando em uma </w:t>
      </w:r>
      <w:r>
        <w:rPr>
          <w:b/>
        </w:rPr>
        <w:t>Diferença de 1,09%</w:t>
      </w:r>
      <w:r>
        <w:t>. É importante notar o sinal de alerta na Empresa D, reforçando a criticidade da perda de dados mencionada anteriormente.</w:t>
      </w:r>
    </w:p>
    <w:p>
      <w:pPr>
        <w:pStyle w:val="ListBullet"/>
      </w:pPr>
      <w:r>
        <w:t xml:space="preserve">  </w:t>
      </w:r>
      <w:r>
        <w:rPr>
          <w:b/>
        </w:rPr>
        <w:t>Diagrama 2 (Fluxo da Auditoria Técnica)</w:t>
      </w:r>
      <w:r>
        <w:t>: Define o rito processual composto por 5 fases sequenciais:</w:t>
      </w:r>
    </w:p>
    <w:p>
      <w:pPr>
        <w:pStyle w:val="ListNumber"/>
      </w:pPr>
      <w:r>
        <w:rPr>
          <w:b/>
        </w:rPr>
        <w:t>Fase 1: Coleta e Validação de Dados</w:t>
      </w:r>
      <w:r>
        <w:t xml:space="preserve"> (Saneamento da base).</w:t>
      </w:r>
    </w:p>
    <w:p>
      <w:pPr>
        <w:pStyle w:val="ListNumber"/>
      </w:pPr>
      <w:r>
        <w:rPr>
          <w:b/>
        </w:rPr>
        <w:t>Fase 2: Verificação das Condições de Operação</w:t>
      </w:r>
      <w:r>
        <w:t xml:space="preserve"> (Análise de P, T e vazão).</w:t>
      </w:r>
    </w:p>
    <w:p>
      <w:pPr>
        <w:pStyle w:val="ListNumber"/>
      </w:pPr>
      <w:r>
        <w:rPr>
          <w:b/>
        </w:rPr>
        <w:t>Fase 3: Análise de Incertezas de Medição</w:t>
      </w:r>
      <w:r>
        <w:t xml:space="preserve"> (Aplicação do </w:t>
      </w:r>
      <w:r>
        <w:rPr>
          <w:b/>
        </w:rPr>
        <w:t>GUM</w:t>
      </w:r>
      <w:r>
        <w:t>).</w:t>
      </w:r>
    </w:p>
    <w:p>
      <w:pPr>
        <w:pStyle w:val="ListNumber"/>
      </w:pPr>
      <w:r>
        <w:rPr>
          <w:b/>
        </w:rPr>
        <w:t>Fase 4: Balanço de Massa</w:t>
      </w:r>
      <w:r>
        <w:t xml:space="preserve"> (Confronto entrada vs. saída).</w:t>
      </w:r>
    </w:p>
    <w:p>
      <w:pPr>
        <w:pStyle w:val="ListNumber"/>
      </w:pPr>
      <w:r>
        <w:rPr>
          <w:b/>
        </w:rPr>
        <w:t>Fase 5: Parecer Regulatório</w:t>
      </w:r>
      <w:r>
        <w:t xml:space="preserve"> (Conclusão técnica final).</w:t>
      </w:r>
    </w:p>
    <w:p>
      <w:pPr>
        <w:pStyle w:val="ListBullet"/>
      </w:pPr>
      <w:r>
        <w:t xml:space="preserve">  </w:t>
      </w:r>
      <w:r>
        <w:rPr>
          <w:b/>
        </w:rPr>
        <w:t>Diagrama 3 (Metodologia de Análise de Dados)</w:t>
      </w:r>
      <w:r>
        <w:t xml:space="preserve">: Detalha o ferramental computacional e estatístico utilizado. O processamento foi executado em ambiente </w:t>
      </w:r>
      <w:r>
        <w:rPr>
          <w:b/>
        </w:rPr>
        <w:t>Python</w:t>
      </w:r>
      <w:r>
        <w:t xml:space="preserve">, utilizando as bibliotecas </w:t>
      </w:r>
      <w:r>
        <w:rPr>
          <w:b/>
        </w:rPr>
        <w:t>Pandas</w:t>
      </w:r>
      <w:r>
        <w:t xml:space="preserve"> e </w:t>
      </w:r>
      <w:r>
        <w:rPr>
          <w:b/>
        </w:rPr>
        <w:t>NumPy</w:t>
      </w:r>
      <w:r>
        <w:t xml:space="preserve"> para manipulação de grandes volumes de dados. A metodologia inclui a </w:t>
      </w:r>
      <w:r>
        <w:rPr>
          <w:b/>
        </w:rPr>
        <w:t>Validação Cruzada</w:t>
      </w:r>
      <w:r>
        <w:t xml:space="preserve"> entre os dados da concessionária e da transportadora, garantindo a fidedignidade da medição fiscal de entrada. O cálculo de energia é realizado pela equação fundamental:</w:t>
      </w:r>
    </w:p>
    <w:p>
      <w:pPr>
        <w:jc w:val="center"/>
      </w:pPr>
      <m:oMath>
        <m:r>
          <m:t>E=V×PCS</m:t>
        </m:r>
      </m:oMath>
    </w:p>
    <w:p>
      <w:r>
        <w:t xml:space="preserve">onde </w:t>
      </w:r>
      <m:oMath>
        <m:r>
          <m:t>E</m:t>
        </m:r>
      </m:oMath>
      <w:r>
        <w:t xml:space="preserve"> é a energia, </w:t>
      </w:r>
      <m:oMath>
        <m:r>
          <m:t>V</m:t>
        </m:r>
      </m:oMath>
      <w:r>
        <w:t xml:space="preserve"> o volume em condições base e </w:t>
      </w:r>
      <m:oMath>
        <m:r>
          <m:t>PCS</m:t>
        </m:r>
      </m:oMath>
      <w:r>
        <w:t xml:space="preserve"> o poder calorífico superior. A análise culmina na combinação de incertezas pelo método </w:t>
      </w:r>
      <w:r>
        <w:rPr>
          <w:b/>
        </w:rPr>
        <w:t>RSS (Root Sum Square)</w:t>
      </w:r>
      <w:r>
        <w:t xml:space="preserve">, conforme preconizado pelo guia </w:t>
      </w:r>
      <w:r>
        <w:rPr>
          <w:b/>
        </w:rPr>
        <w:t>GUM</w:t>
      </w:r>
      <w:r>
        <w:t>, para estabelecer as bandas de incerteza do balanço de massa final.</w:t>
      </w:r>
    </w:p>
    <w:p>
      <w:pPr>
        <w:pStyle w:val="Heading2"/>
      </w:pPr>
      <w:r>
        <w:t>Parecer Regulatório</w:t>
      </w:r>
    </w:p>
    <w:p>
      <w:r>
        <w:t xml:space="preserve">Com base na auditoria técnica realizada, as condições de disponibilidade e integridade dos dados são classificadas como </w:t>
      </w:r>
      <w:r>
        <w:rPr>
          <w:b/>
        </w:rPr>
        <w:t>PREOCUPANTES</w:t>
      </w:r>
      <w:r>
        <w:t>.</w:t>
      </w:r>
    </w:p>
    <w:p>
      <w:r>
        <w:t xml:space="preserve">Embora o volume total auditado de </w:t>
      </w:r>
      <w:r>
        <w:rPr>
          <w:b/>
        </w:rPr>
        <w:t>182,9 milhões de Nm³</w:t>
      </w:r>
      <w:r>
        <w:t xml:space="preserve"> possua rastreabilidade comercial e os dados de entrada no </w:t>
      </w:r>
      <w:r>
        <w:rPr>
          <w:b/>
        </w:rPr>
        <w:t>City-Gate</w:t>
      </w:r>
      <w:r>
        <w:t xml:space="preserve"> apresentem consistência adequada, a qualidade da base de dados nas saídas (pontos de consumo) compromete a precisão do balanço de massa diário. A falha de integridade identificada na </w:t>
      </w:r>
      <w:r>
        <w:rPr>
          <w:b/>
        </w:rPr>
        <w:t>Empresa D</w:t>
      </w:r>
      <w:r>
        <w:t xml:space="preserve">, que apresenta uma ausência de </w:t>
      </w:r>
      <w:r>
        <w:rPr>
          <w:b/>
        </w:rPr>
        <w:t>57% dos registros horários (NaN)</w:t>
      </w:r>
      <w:r>
        <w:t xml:space="preserve">, é considerada uma não conformidade técnica grave no que tange à guarda de registros e à continuidade do monitoramento metrológico. Tal lacuna impossibilita o cálculo exato da </w:t>
      </w:r>
      <w:r>
        <w:rPr>
          <w:b/>
        </w:rPr>
        <w:t>perda aparente</w:t>
      </w:r>
      <w:r>
        <w:t xml:space="preserve"> em períodos de curta granularidade, podendo mascarar vazamentos reais ou desvios de medição sistemáticos.</w:t>
      </w:r>
    </w:p>
    <w:p>
      <w:r>
        <w:t xml:space="preserve">A diferença apurada de </w:t>
      </w:r>
      <w:r>
        <w:rPr>
          <w:b/>
        </w:rPr>
        <w:t>1,09%</w:t>
      </w:r>
      <w:r>
        <w:t xml:space="preserve"> entre a entrada e a saída está, em termos absolutos, dentro de patamares comumente observados na distribuição; contudo, sem o saneamento dos dados da Empresa D e a correta aplicação da </w:t>
      </w:r>
      <w:r>
        <w:rPr>
          <w:b/>
        </w:rPr>
        <w:t>incerteza expandida</w:t>
      </w:r>
      <w:r>
        <w:t xml:space="preserve"> sobre o volume faltante, a segurança jurídica do balanço fica fragilizada.</w:t>
      </w:r>
    </w:p>
    <w:p>
      <w:r>
        <w:rPr>
          <w:b/>
        </w:rPr>
        <w:t>Ações Recomendadas:</w:t>
      </w:r>
    </w:p>
    <w:p>
      <w:pPr>
        <w:pStyle w:val="ListNumber"/>
      </w:pPr>
      <w:r>
        <w:rPr>
          <w:b/>
        </w:rPr>
        <w:t>Regularização de Dados</w:t>
      </w:r>
      <w:r>
        <w:t>: A concessionária deve apresentar justificativa técnica imediata para a perda de 57% dos dados horários da Empresa D, providenciando a recuperação dos registros via memória de massa dos corretores de vazão, caso disponível.</w:t>
      </w:r>
    </w:p>
    <w:p>
      <w:pPr>
        <w:pStyle w:val="ListNumber"/>
      </w:pPr>
      <w:r>
        <w:rPr>
          <w:b/>
        </w:rPr>
        <w:t>Recálculo do Balanço</w:t>
      </w:r>
      <w:r>
        <w:t xml:space="preserve">: Proceder à reavaliação do balanço de massa utilizando técnicas de interpolação ou estimativa de carga para os períodos faltantes, aplicando uma penalidade de incerteza adicional no cálculo do </w:t>
      </w:r>
      <w:r>
        <w:rPr>
          <w:b/>
        </w:rPr>
        <w:t>RSS</w:t>
      </w:r>
      <w:r>
        <w:t xml:space="preserve"> conforme as diretrizes do </w:t>
      </w:r>
      <w:r>
        <w:rPr>
          <w:b/>
        </w:rPr>
        <w:t>GUM</w:t>
      </w:r>
      <w:r>
        <w:t>.</w:t>
      </w:r>
    </w:p>
    <w:p>
      <w:pPr>
        <w:pStyle w:val="ListNumber"/>
      </w:pPr>
      <w:r>
        <w:rPr>
          <w:b/>
        </w:rPr>
        <w:t>Auditoria de Campo</w:t>
      </w:r>
      <w:r>
        <w:t>: Recomenda-se a realização de uma inspeção física e calibração extraordinária nos instrumentos da Empresa D para verificar se a falha nos registros decorre de problemas de telemetria ou de mau funcionamento do sistema de medição.</w:t>
      </w:r>
    </w:p>
    <w:p>
      <w:pPr>
        <w:pStyle w:val="ListNumber"/>
      </w:pPr>
      <w:r>
        <w:rPr>
          <w:b/>
        </w:rPr>
        <w:t>Monitoramento do PCS</w:t>
      </w:r>
      <w:r>
        <w:t xml:space="preserve">: Validar se o </w:t>
      </w:r>
      <w:r>
        <w:rPr>
          <w:b/>
        </w:rPr>
        <w:t>Poder Calorífico Superior (PCS)</w:t>
      </w:r>
      <w:r>
        <w:t xml:space="preserve"> utilizado no cálculo de energia (</w:t>
      </w:r>
      <m:oMath>
        <m:r>
          <m:t>E=V×PCS</m:t>
        </m:r>
      </m:oMath>
      <w:r>
        <w:t>) reflete a média ponderada do período, garantindo que a variação composicional do gás não esteja distorcendo o balanço energético.</w:t>
      </w:r>
    </w:p>
    <w:p>
      <w:r>
        <w:br w:type="page"/>
      </w:r>
    </w:p>
    <w:p>
      <w:pPr>
        <w:pStyle w:val="Heading1"/>
      </w:pPr>
      <w:r>
        <w:t>2. Análise de Volumes de Entrada</w:t>
      </w:r>
    </w:p>
    <w:p>
      <w:r>
        <w:t xml:space="preserve">O presente capítulo dedica-se à análise técnica e auditoria dos volumes de gás natural que ingressam no distrito de distribuição, constituindo o cerne da fiscalização sobre a </w:t>
      </w:r>
      <w:r>
        <w:rPr>
          <w:b/>
        </w:rPr>
        <w:t>Transferência de Custódia</w:t>
      </w:r>
      <w:r>
        <w:t>. A exatidão metrológica nessas fronteiras é fundamental para assegurar a modicidade tarifária e a integridade do balanço de massa da rede, uma vez que discrepâncias entre os volumes medidos pelo supridor e pelo receptor podem resultar em perdas comerciais significativas ou passivos regulatórios para a concessionária.</w:t>
      </w:r>
    </w:p>
    <w:p>
      <w:r>
        <w:t xml:space="preserve">A avaliação baseou-se no desempenho do sistema de medição fiscal frente aos limites de </w:t>
      </w:r>
      <w:r>
        <w:rPr>
          <w:b/>
        </w:rPr>
        <w:t>incerteza expandida</w:t>
      </w:r>
      <w:r>
        <w:t xml:space="preserve"> e nos critérios de concordância estabelecidos para a operação de medidores em série. Os principais achados indicam uma estabilidade metrológica excepcional, com desvios relativos situados em patamares próximos de zero, evidenciando uma calibração rigorosa e uma manutenção preventiva eficaz dos ativos de medição, a despeito das oscilações de demanda observadas durante o semestre.</w:t>
      </w:r>
    </w:p>
    <w:p>
      <w:pPr>
        <w:spacing w:after="80"/>
      </w:pPr>
      <w:r>
        <w:rPr>
          <w:b/>
          <w:i/>
          <w:color w:val="1A237E"/>
          <w:sz w:val="20"/>
        </w:rPr>
        <w:t>Tabela 2.1: Estatísticas Descritivas dos Volumes de Entrada</w:t>
      </w:r>
    </w:p>
    <w:tbl>
      <w:tblPr>
        <w:tblStyle w:val="TableGrid"/>
        <w:tblW w:type="auto" w:w="0"/>
        <w:jc w:val="center"/>
        <w:tblLook w:firstColumn="1" w:firstRow="1" w:lastColumn="0" w:lastRow="0" w:noHBand="0" w:noVBand="1" w:val="04A0"/>
      </w:tblPr>
      <w:tblGrid>
        <w:gridCol w:w="3041"/>
        <w:gridCol w:w="3041"/>
        <w:gridCol w:w="3041"/>
      </w:tblGrid>
      <w:tr>
        <w:tc>
          <w:tcPr>
            <w:tcW w:type="dxa" w:w="3041"/>
            <w:shd w:fill="1A237E"/>
          </w:tcPr>
          <w:p>
            <w:pPr>
              <w:jc w:val="center"/>
            </w:pPr>
            <w:r>
              <w:rPr>
                <w:b/>
                <w:color w:val="FFFFFF"/>
                <w:sz w:val="18"/>
              </w:rPr>
              <w:t>Métrica</w:t>
            </w:r>
          </w:p>
        </w:tc>
        <w:tc>
          <w:tcPr>
            <w:tcW w:type="dxa" w:w="3041"/>
            <w:shd w:fill="1A237E"/>
          </w:tcPr>
          <w:p>
            <w:pPr>
              <w:jc w:val="center"/>
            </w:pPr>
            <w:r>
              <w:rPr>
                <w:b/>
                <w:color w:val="FFFFFF"/>
                <w:sz w:val="18"/>
              </w:rPr>
              <w:t>Concessionária (Nm³/d)</w:t>
            </w:r>
          </w:p>
        </w:tc>
        <w:tc>
          <w:tcPr>
            <w:tcW w:type="dxa" w:w="3041"/>
            <w:shd w:fill="1A237E"/>
          </w:tcPr>
          <w:p>
            <w:pPr>
              <w:jc w:val="center"/>
            </w:pPr>
            <w:r>
              <w:rPr>
                <w:b/>
                <w:color w:val="FFFFFF"/>
                <w:sz w:val="18"/>
              </w:rPr>
              <w:t>Observação</w:t>
            </w:r>
          </w:p>
        </w:tc>
      </w:tr>
      <w:tr>
        <w:tc>
          <w:tcPr>
            <w:tcW w:type="dxa" w:w="3041"/>
            <w:shd w:fill="F5F5F5"/>
          </w:tcPr>
          <w:p>
            <w:r>
              <w:rPr>
                <w:sz w:val="18"/>
              </w:rPr>
              <w:t>Volume Médio Diário</w:t>
            </w:r>
          </w:p>
        </w:tc>
        <w:tc>
          <w:tcPr>
            <w:tcW w:type="dxa" w:w="3041"/>
            <w:shd w:fill="F5F5F5"/>
          </w:tcPr>
          <w:p>
            <w:r>
              <w:rPr>
                <w:sz w:val="18"/>
              </w:rPr>
              <w:t>999,562</w:t>
            </w:r>
          </w:p>
        </w:tc>
        <w:tc>
          <w:tcPr>
            <w:tcW w:type="dxa" w:w="3041"/>
            <w:shd w:fill="F5F5F5"/>
          </w:tcPr>
          <w:p>
            <w:r>
              <w:rPr>
                <w:sz w:val="18"/>
              </w:rPr>
              <w:t>41,648.42 m³/h</w:t>
            </w:r>
          </w:p>
        </w:tc>
      </w:tr>
      <w:tr>
        <w:tc>
          <w:tcPr>
            <w:tcW w:type="dxa" w:w="3041"/>
          </w:tcPr>
          <w:p>
            <w:r>
              <w:rPr>
                <w:sz w:val="18"/>
              </w:rPr>
              <w:t>Volume Mínimo Diário</w:t>
            </w:r>
          </w:p>
        </w:tc>
        <w:tc>
          <w:tcPr>
            <w:tcW w:type="dxa" w:w="3041"/>
          </w:tcPr>
          <w:p>
            <w:r>
              <w:rPr>
                <w:sz w:val="18"/>
              </w:rPr>
              <w:t>505,965</w:t>
            </w:r>
          </w:p>
        </w:tc>
        <w:tc>
          <w:tcPr>
            <w:tcW w:type="dxa" w:w="3041"/>
          </w:tcPr>
          <w:p>
            <w:r>
              <w:rPr>
                <w:sz w:val="18"/>
              </w:rPr>
              <w:t>21,081.87 m³/h</w:t>
            </w:r>
          </w:p>
        </w:tc>
      </w:tr>
      <w:tr>
        <w:tc>
          <w:tcPr>
            <w:tcW w:type="dxa" w:w="3041"/>
            <w:shd w:fill="F5F5F5"/>
          </w:tcPr>
          <w:p>
            <w:r>
              <w:rPr>
                <w:sz w:val="18"/>
              </w:rPr>
              <w:t>Volume Máximo Diário</w:t>
            </w:r>
          </w:p>
        </w:tc>
        <w:tc>
          <w:tcPr>
            <w:tcW w:type="dxa" w:w="3041"/>
            <w:shd w:fill="F5F5F5"/>
          </w:tcPr>
          <w:p>
            <w:r>
              <w:rPr>
                <w:sz w:val="18"/>
              </w:rPr>
              <w:t>1,240,865</w:t>
            </w:r>
          </w:p>
        </w:tc>
        <w:tc>
          <w:tcPr>
            <w:tcW w:type="dxa" w:w="3041"/>
            <w:shd w:fill="F5F5F5"/>
          </w:tcPr>
          <w:p>
            <w:r>
              <w:rPr>
                <w:sz w:val="18"/>
              </w:rPr>
              <w:t>51,702.70 m³/h</w:t>
            </w:r>
          </w:p>
        </w:tc>
      </w:tr>
      <w:tr>
        <w:tc>
          <w:tcPr>
            <w:tcW w:type="dxa" w:w="3041"/>
          </w:tcPr>
          <w:p>
            <w:r>
              <w:rPr>
                <w:sz w:val="18"/>
              </w:rPr>
              <w:t>Desvio Padrão</w:t>
            </w:r>
          </w:p>
        </w:tc>
        <w:tc>
          <w:tcPr>
            <w:tcW w:type="dxa" w:w="3041"/>
          </w:tcPr>
          <w:p>
            <w:r>
              <w:rPr>
                <w:sz w:val="18"/>
              </w:rPr>
              <w:t>168,609.2</w:t>
            </w:r>
          </w:p>
        </w:tc>
        <w:tc>
          <w:tcPr>
            <w:tcW w:type="dxa" w:w="3041"/>
          </w:tcPr>
          <w:p>
            <w:r>
              <w:rPr>
                <w:sz w:val="18"/>
              </w:rPr>
            </w:r>
          </w:p>
        </w:tc>
      </w:tr>
      <w:tr>
        <w:tc>
          <w:tcPr>
            <w:tcW w:type="dxa" w:w="3041"/>
            <w:shd w:fill="F5F5F5"/>
          </w:tcPr>
          <w:p>
            <w:r>
              <w:rPr>
                <w:sz w:val="18"/>
              </w:rPr>
              <w:t>Volume Total (período)</w:t>
            </w:r>
          </w:p>
        </w:tc>
        <w:tc>
          <w:tcPr>
            <w:tcW w:type="dxa" w:w="3041"/>
            <w:shd w:fill="F5F5F5"/>
          </w:tcPr>
          <w:p>
            <w:r>
              <w:rPr>
                <w:sz w:val="18"/>
              </w:rPr>
              <w:t>182,919,850</w:t>
            </w:r>
          </w:p>
        </w:tc>
        <w:tc>
          <w:tcPr>
            <w:tcW w:type="dxa" w:w="3041"/>
            <w:shd w:fill="F5F5F5"/>
          </w:tcPr>
          <w:p>
            <w:r>
              <w:rPr>
                <w:sz w:val="18"/>
              </w:rPr>
              <w:t>183 dias</w:t>
            </w:r>
          </w:p>
        </w:tc>
      </w:tr>
      <w:tr>
        <w:tc>
          <w:tcPr>
            <w:tcW w:type="dxa" w:w="3041"/>
          </w:tcPr>
          <w:p>
            <w:r>
              <w:rPr>
                <w:sz w:val="18"/>
              </w:rPr>
              <w:t>Dif. Média Conc. vs Transp.</w:t>
            </w:r>
          </w:p>
        </w:tc>
        <w:tc>
          <w:tcPr>
            <w:tcW w:type="dxa" w:w="3041"/>
          </w:tcPr>
          <w:p>
            <w:r>
              <w:rPr>
                <w:sz w:val="18"/>
              </w:rPr>
              <w:t>-0.000009%</w:t>
            </w:r>
          </w:p>
        </w:tc>
        <w:tc>
          <w:tcPr>
            <w:tcW w:type="dxa" w:w="3041"/>
          </w:tcPr>
          <w:p>
            <w:r>
              <w:rPr>
                <w:sz w:val="18"/>
              </w:rPr>
              <w:t>Excelente</w:t>
            </w:r>
          </w:p>
        </w:tc>
      </w:tr>
      <w:tr>
        <w:tc>
          <w:tcPr>
            <w:tcW w:type="dxa" w:w="3041"/>
            <w:shd w:fill="F5F5F5"/>
          </w:tcPr>
          <w:p>
            <w:r>
              <w:rPr>
                <w:sz w:val="18"/>
              </w:rPr>
              <w:t>Dif. Máxima Conc. vs Transp.</w:t>
            </w:r>
          </w:p>
        </w:tc>
        <w:tc>
          <w:tcPr>
            <w:tcW w:type="dxa" w:w="3041"/>
            <w:shd w:fill="F5F5F5"/>
          </w:tcPr>
          <w:p>
            <w:r>
              <w:rPr>
                <w:sz w:val="18"/>
              </w:rPr>
              <w:t>0.000083%</w:t>
            </w:r>
          </w:p>
        </w:tc>
        <w:tc>
          <w:tcPr>
            <w:tcW w:type="dxa" w:w="3041"/>
            <w:shd w:fill="F5F5F5"/>
          </w:tcPr>
          <w:p>
            <w:r>
              <w:rPr>
                <w:sz w:val="18"/>
              </w:rPr>
              <w:t>&lt; 0,01%</w:t>
            </w:r>
          </w:p>
        </w:tc>
      </w:tr>
    </w:tbl>
    <w:p/>
    <w:p>
      <w:pPr>
        <w:pStyle w:val="Heading2"/>
      </w:pPr>
      <w:r>
        <w:t>Fundamentação Teórica</w:t>
      </w:r>
    </w:p>
    <w:p>
      <w:r>
        <w:t xml:space="preserve">A medição de gás natural para fins de </w:t>
      </w:r>
      <w:r>
        <w:rPr>
          <w:b/>
        </w:rPr>
        <w:t>Transferência de Custódia</w:t>
      </w:r>
      <w:r>
        <w:t xml:space="preserve"> e </w:t>
      </w:r>
      <w:r>
        <w:rPr>
          <w:b/>
        </w:rPr>
        <w:t>Medição Fiscal</w:t>
      </w:r>
      <w:r>
        <w:t xml:space="preserve"> exige o cumprimento de rigorosos requisitos metrológicos e normativos. Esta subseção estabelece a base teórica necessária para a avaliação da conformidade dos sistemas de medição, abordando desde a conversão de volumes até os critérios de aceitabilidade de desvios entre sistemas.</w:t>
      </w:r>
    </w:p>
    <w:p>
      <w:pPr>
        <w:pStyle w:val="Heading4"/>
      </w:pPr>
      <w:r>
        <w:t>Conversão de Volumes e Condições de Referência</w:t>
      </w:r>
    </w:p>
    <w:p>
      <w:r>
        <w:t>O gás natural é um fluido compressível, o que implica que seu volume é dependente das condições de pressão e temperatura às quais está submetido. Para fins de faturamento e balanço de massa, o volume medido nas condições de operação (</w:t>
      </w:r>
      <m:oMath>
        <m:sSub>
          <m:e>
            <m:r>
              <m:t>V</m:t>
            </m:r>
          </m:e>
          <m:sub>
            <m:r>
              <m:t>op</m:t>
            </m:r>
          </m:sub>
        </m:sSub>
      </m:oMath>
      <w:r>
        <w:t>) deve ser corrigido para as condições de referência estabelecidas pela regulação nacional: Pressão Base (</w:t>
      </w:r>
      <m:oMath>
        <m:sSub>
          <m:e>
            <m:r>
              <m:t>P</m:t>
            </m:r>
          </m:e>
          <m:sub>
            <m:r>
              <m:t>b</m:t>
            </m:r>
          </m:sub>
        </m:sSub>
      </m:oMath>
      <w:r>
        <w:t xml:space="preserve">) de </w:t>
      </w:r>
      <w:r>
        <w:rPr>
          <w:b/>
        </w:rPr>
        <w:t>101,325 kPa</w:t>
      </w:r>
      <w:r>
        <w:t xml:space="preserve"> (abs) e Temperatura Base (</w:t>
      </w:r>
      <m:oMath>
        <m:sSub>
          <m:e>
            <m:r>
              <m:t>T</m:t>
            </m:r>
          </m:e>
          <m:sub>
            <m:r>
              <m:t>b</m:t>
            </m:r>
          </m:sub>
        </m:sSub>
      </m:oMath>
      <w:r>
        <w:t xml:space="preserve">) de </w:t>
      </w:r>
      <w:r>
        <w:rPr>
          <w:b/>
        </w:rPr>
        <w:t>293,15 K</w:t>
      </w:r>
      <w:r>
        <w:t xml:space="preserve"> (20 °C).</w:t>
      </w:r>
    </w:p>
    <w:p>
      <w:r>
        <w:t>A equação fundamental para o cálculo do volume corrigido (</w:t>
      </w:r>
      <m:oMath>
        <m:sSub>
          <m:e>
            <m:r>
              <m:t>V</m:t>
            </m:r>
          </m:e>
          <m:sub>
            <m:r>
              <m:t>b</m:t>
            </m:r>
          </m:sub>
        </m:sSub>
      </m:oMath>
      <w:r>
        <w:t xml:space="preserve">), expressa em </w:t>
      </w:r>
      <w:r>
        <w:rPr>
          <w:b/>
        </w:rPr>
        <w:t>Nm³</w:t>
      </w:r>
      <w:r>
        <w:t>, é definida por:</w:t>
      </w:r>
    </w:p>
    <w:p>
      <w:pPr>
        <w:jc w:val="center"/>
      </w:pPr>
      <m:oMath>
        <m:sSub>
          <m:e>
            <m:r>
              <m:t>V</m:t>
            </m:r>
          </m:e>
          <m:sub>
            <m:r>
              <m:t>b</m:t>
            </m:r>
          </m:sub>
        </m:sSub>
        <m:r>
          <m:t>=</m:t>
        </m:r>
        <m:sSub>
          <m:e>
            <m:r>
              <m:t>V</m:t>
            </m:r>
          </m:e>
          <m:sub>
            <m:r>
              <m:t>op</m:t>
            </m:r>
          </m:sub>
        </m:sSub>
        <m:r>
          <m:t>·</m:t>
        </m:r>
        <m:f>
          <m:fPr>
            <m:type m:val="bar"/>
          </m:fPr>
          <m:num>
            <m:sSub>
              <m:e>
                <m:r>
                  <m:t>P</m:t>
                </m:r>
              </m:e>
              <m:sub>
                <m:r>
                  <m:t>f</m:t>
                </m:r>
              </m:sub>
            </m:sSub>
          </m:num>
          <m:den>
            <m:sSub>
              <m:e>
                <m:r>
                  <m:t>P</m:t>
                </m:r>
              </m:e>
              <m:sub>
                <m:r>
                  <m:t>b</m:t>
                </m:r>
              </m:sub>
            </m:sSub>
          </m:den>
        </m:f>
        <m:r>
          <m:t>·</m:t>
        </m:r>
        <m:f>
          <m:fPr>
            <m:type m:val="bar"/>
          </m:fPr>
          <m:num>
            <m:sSub>
              <m:e>
                <m:r>
                  <m:t>T</m:t>
                </m:r>
              </m:e>
              <m:sub>
                <m:r>
                  <m:t>b</m:t>
                </m:r>
              </m:sub>
            </m:sSub>
          </m:num>
          <m:den>
            <m:sSub>
              <m:e>
                <m:r>
                  <m:t>T</m:t>
                </m:r>
              </m:e>
              <m:sub>
                <m:r>
                  <m:t>f</m:t>
                </m:r>
              </m:sub>
            </m:sSub>
          </m:den>
        </m:f>
        <m:r>
          <m:t>·</m:t>
        </m:r>
        <m:f>
          <m:fPr>
            <m:type m:val="bar"/>
          </m:fPr>
          <m:num>
            <m:r>
              <m:t>1</m:t>
            </m:r>
          </m:num>
          <m:den>
            <m:r>
              <m:t>Z</m:t>
            </m:r>
          </m:den>
        </m:f>
      </m:oMath>
    </w:p>
    <w:p>
      <w:r>
        <w:t>Onde:</w:t>
      </w:r>
    </w:p>
    <w:p>
      <w:pPr>
        <w:pStyle w:val="ListBullet"/>
      </w:pPr>
      <w:r>
        <w:t xml:space="preserve">  </w:t>
      </w:r>
      <m:oMath>
        <m:sSub>
          <m:e>
            <m:r>
              <m:t>V</m:t>
            </m:r>
          </m:e>
          <m:sub>
            <m:r>
              <m:t>b</m:t>
            </m:r>
          </m:sub>
        </m:sSub>
      </m:oMath>
      <w:r>
        <w:t>: Volume nas condições de referência (</w:t>
      </w:r>
      <w:r>
        <w:rPr>
          <w:b/>
        </w:rPr>
        <w:t>Nm³</w:t>
      </w:r>
      <w:r>
        <w:t>);</w:t>
      </w:r>
    </w:p>
    <w:p>
      <w:pPr>
        <w:pStyle w:val="ListBullet"/>
      </w:pPr>
      <w:r>
        <w:t xml:space="preserve">  </w:t>
      </w:r>
      <m:oMath>
        <m:sSub>
          <m:e>
            <m:r>
              <m:t>V</m:t>
            </m:r>
          </m:e>
          <m:sub>
            <m:r>
              <m:t>op</m:t>
            </m:r>
          </m:sub>
        </m:sSub>
      </m:oMath>
      <w:r>
        <w:t>: Volume nas condições de escoamento (</w:t>
      </w:r>
      <m:oMath>
        <m:sSup>
          <m:e>
            <m:r>
              <m:t>m</m:t>
            </m:r>
          </m:e>
          <m:sup>
            <m:r>
              <m:t>3</m:t>
            </m:r>
          </m:sup>
        </m:sSup>
      </m:oMath>
      <w:r>
        <w:t>);</w:t>
      </w:r>
    </w:p>
    <w:p>
      <w:pPr>
        <w:pStyle w:val="ListBullet"/>
      </w:pPr>
      <w:r>
        <w:t xml:space="preserve">  </w:t>
      </w:r>
      <m:oMath>
        <m:sSub>
          <m:e>
            <m:r>
              <m:t>P</m:t>
            </m:r>
          </m:e>
          <m:sub>
            <m:r>
              <m:t>f</m:t>
            </m:r>
          </m:sub>
        </m:sSub>
      </m:oMath>
      <w:r>
        <w:t>: Pressão absoluta de escoamento (kPa);</w:t>
      </w:r>
    </w:p>
    <w:p>
      <w:pPr>
        <w:pStyle w:val="ListBullet"/>
      </w:pPr>
      <w:r>
        <w:t xml:space="preserve">  </w:t>
      </w:r>
      <m:oMath>
        <m:sSub>
          <m:e>
            <m:r>
              <m:t>T</m:t>
            </m:r>
          </m:e>
          <m:sub>
            <m:r>
              <m:t>f</m:t>
            </m:r>
          </m:sub>
        </m:sSub>
      </m:oMath>
      <w:r>
        <w:t>: Temperatura absoluta de escoamento (K);</w:t>
      </w:r>
    </w:p>
    <w:p>
      <w:pPr>
        <w:pStyle w:val="ListBullet"/>
      </w:pPr>
      <w:r>
        <w:t xml:space="preserve">  </w:t>
      </w:r>
      <m:oMath>
        <m:r>
          <m:t>Z</m:t>
        </m:r>
      </m:oMath>
      <w:r>
        <w:t>: Fator de compressibilidade, que corrige o desvio do comportamento do gás real em relação ao gás ideal.</w:t>
      </w:r>
    </w:p>
    <w:p>
      <w:r>
        <w:t xml:space="preserve">O fator de compressibilidade é calculado com base na composição físico-química do gás, obtida via cromatografia, utilizando algoritmos internacionalmente aceitos (como a AGA 8 ou SGERG-88). Além do volume, a energia entregue é determinada pelo produto do volume corrigido pelo </w:t>
      </w:r>
      <w:r>
        <w:rPr>
          <w:b/>
        </w:rPr>
        <w:t>Poder Calorífico Superior (PCS)</w:t>
      </w:r>
      <w:r>
        <w:t xml:space="preserve">, geralmente expresso em </w:t>
      </w:r>
      <w:r>
        <w:rPr>
          <w:b/>
        </w:rPr>
        <w:t>kcal/m³</w:t>
      </w:r>
      <w:r>
        <w:t xml:space="preserve"> ou </w:t>
      </w:r>
      <w:r>
        <w:rPr>
          <w:b/>
        </w:rPr>
        <w:t>kJ/m³</w:t>
      </w:r>
      <w:r>
        <w:t>.</w:t>
      </w:r>
    </w:p>
    <w:p>
      <w:pPr>
        <w:pStyle w:val="Heading4"/>
      </w:pPr>
      <w:r>
        <w:t>Incerteza de Medição e Propagação de Erros</w:t>
      </w:r>
    </w:p>
    <w:p>
      <w:r>
        <w:t xml:space="preserve">Toda medição possui uma dúvida associada, denominada </w:t>
      </w:r>
      <w:r>
        <w:rPr>
          <w:b/>
        </w:rPr>
        <w:t>Incerteza de Medição</w:t>
      </w:r>
      <w:r>
        <w:t xml:space="preserve">. Em sistemas de medição fiscal, a incerteza deve ser quantificada de acordo com os princípios do </w:t>
      </w:r>
      <w:r>
        <w:rPr>
          <w:b/>
        </w:rPr>
        <w:t>GUM</w:t>
      </w:r>
      <w:r>
        <w:t xml:space="preserve"> (</w:t>
      </w:r>
      <w:r>
        <w:rPr>
          <w:i/>
        </w:rPr>
        <w:t>Guide to the Expression of Uncertainty in Measurement</w:t>
      </w:r>
      <w:r>
        <w:t>).</w:t>
      </w:r>
    </w:p>
    <w:p>
      <w:r>
        <w:t xml:space="preserve">A </w:t>
      </w:r>
      <w:r>
        <w:rPr>
          <w:b/>
        </w:rPr>
        <w:t>Incerteza Expandida</w:t>
      </w:r>
      <w:r>
        <w:t xml:space="preserve"> (</w:t>
      </w:r>
      <m:oMath>
        <m:r>
          <m:t>U</m:t>
        </m:r>
      </m:oMath>
      <w:r>
        <w:t xml:space="preserve">) é obtida pela aplicação de um fator de abrangência </w:t>
      </w:r>
      <m:oMath>
        <m:r>
          <m:t>k</m:t>
        </m:r>
      </m:oMath>
      <w:r>
        <w:t xml:space="preserve"> (geralmente </w:t>
      </w:r>
      <m:oMath>
        <m:r>
          <m:t>k=2</m:t>
        </m:r>
      </m:oMath>
      <w:r>
        <w:t xml:space="preserve"> para um nível de confiança de 95,45%) sobre a incerteza combinada. A combinação das incertezas dos diversos componentes (sensores de pressão, temperatura, computador de vazão e o elemento primário) é realizada pelo método </w:t>
      </w:r>
      <w:r>
        <w:rPr>
          <w:b/>
        </w:rPr>
        <w:t>RSS</w:t>
      </w:r>
      <w:r>
        <w:t xml:space="preserve"> (</w:t>
      </w:r>
      <w:r>
        <w:rPr>
          <w:i/>
        </w:rPr>
        <w:t>Root Sum Square</w:t>
      </w:r>
      <w:r>
        <w:t>):</w:t>
      </w:r>
    </w:p>
    <w:p>
      <w:pPr>
        <w:jc w:val="center"/>
      </w:pPr>
      <m:oMath>
        <m:sSub>
          <m:e>
            <m:r>
              <m:t>u</m:t>
            </m:r>
          </m:e>
          <m:sub>
            <m:r>
              <m:t>c</m:t>
            </m:r>
          </m:sub>
        </m:sSub>
        <m:r>
          <m:t>=</m:t>
        </m:r>
        <m:rad>
          <m:radPr>
            <m:degHide m:val="on"/>
          </m:radPr>
          <m:deg/>
          <m:e>
            <m:sSubSup>
              <m:e>
                <m:r>
                  <m:t>u</m:t>
                </m:r>
              </m:e>
              <m:sub>
                <m:r>
                  <m:t>V</m:t>
                </m:r>
              </m:sub>
              <m:sup>
                <m:r>
                  <m:t>2</m:t>
                </m:r>
              </m:sup>
            </m:sSubSup>
            <m:r>
              <m:t>+</m:t>
            </m:r>
            <m:sSubSup>
              <m:e>
                <m:r>
                  <m:t>u</m:t>
                </m:r>
              </m:e>
              <m:sub>
                <m:r>
                  <m:t>P</m:t>
                </m:r>
              </m:sub>
              <m:sup>
                <m:r>
                  <m:t>2</m:t>
                </m:r>
              </m:sup>
            </m:sSubSup>
            <m:r>
              <m:t>+</m:t>
            </m:r>
            <m:sSubSup>
              <m:e>
                <m:r>
                  <m:t>u</m:t>
                </m:r>
              </m:e>
              <m:sub>
                <m:r>
                  <m:t>T</m:t>
                </m:r>
              </m:sub>
              <m:sup>
                <m:r>
                  <m:t>2</m:t>
                </m:r>
              </m:sup>
            </m:sSubSup>
            <m:r>
              <m:t>+</m:t>
            </m:r>
            <m:sSubSup>
              <m:e>
                <m:r>
                  <m:t>u</m:t>
                </m:r>
              </m:e>
              <m:sub>
                <m:r>
                  <m:t>Z</m:t>
                </m:r>
              </m:sub>
              <m:sup>
                <m:r>
                  <m:t>2</m:t>
                </m:r>
              </m:sup>
            </m:sSubSup>
          </m:e>
        </m:rad>
      </m:oMath>
    </w:p>
    <w:p>
      <w:r>
        <w:t xml:space="preserve">Onde </w:t>
      </w:r>
      <m:oMath>
        <m:sSub>
          <m:e>
            <m:r>
              <m:t>u</m:t>
            </m:r>
          </m:e>
          <m:sub>
            <m:r>
              <m:t>i</m:t>
            </m:r>
          </m:sub>
        </m:sSub>
      </m:oMath>
      <w:r>
        <w:t xml:space="preserve"> representa a incerteza padrão de cada variável contribuinte. Para a regulação vigente, o limite máximo admitido para a incerteza expandida do sistema de medição fiscal é de </w:t>
      </w:r>
      <w:r>
        <w:rPr>
          <w:b/>
        </w:rPr>
        <w:t>1,50%</w:t>
      </w:r>
      <w:r>
        <w:t xml:space="preserve"> em relação ao volume.</w:t>
      </w:r>
    </w:p>
    <w:p>
      <w:pPr>
        <w:pStyle w:val="Heading4"/>
      </w:pPr>
      <w:r>
        <w:t>Critérios de Concordância entre Sistemas (Check Metering)</w:t>
      </w:r>
    </w:p>
    <w:p>
      <w:r>
        <w:t>Em distritos de distribuição, é comum a existência de sistemas de medição em série ou em paralelo para fins de conferência (</w:t>
      </w:r>
      <w:r>
        <w:rPr>
          <w:b/>
        </w:rPr>
        <w:t>Check Metering</w:t>
      </w:r>
      <w:r>
        <w:t>). A concordância entre o medidor de entrega (vendedor) e o medidor de recepção (comprador) é o principal indicador de integridade metrológica.</w:t>
      </w:r>
    </w:p>
    <w:p>
      <w:r>
        <w:t>O desvio relativo percentual (</w:t>
      </w:r>
      <m:oMath>
        <m:sSub>
          <m:e>
            <m:r>
              <m:t>E</m:t>
            </m:r>
          </m:e>
          <m:sub>
            <m:r>
              <m:t>rel</m:t>
            </m:r>
          </m:sub>
        </m:sSub>
      </m:oMath>
      <w:r>
        <w:t>) entre dois sistemas de medição é calculado por:</w:t>
      </w:r>
    </w:p>
    <w:p>
      <w:pPr>
        <w:jc w:val="center"/>
      </w:pPr>
      <m:oMath>
        <m:sSub>
          <m:e>
            <m:r>
              <m:t>E</m:t>
            </m:r>
          </m:e>
          <m:sub>
            <m:r>
              <m:t>rel</m:t>
            </m:r>
          </m:sub>
        </m:sSub>
        <m:r>
          <m:t>=</m:t>
        </m:r>
        <m:d>
          <m:dPr>
            <m:sepChr m:val=""/>
          </m:dPr>
          <m:e>
            <m:f>
              <m:fPr>
                <m:type m:val="bar"/>
              </m:fPr>
              <m:num>
                <m:sSub>
                  <m:e>
                    <m:r>
                      <m:t>V</m:t>
                    </m:r>
                  </m:e>
                  <m:sub>
                    <m:r>
                      <m:t>distrito</m:t>
                    </m:r>
                  </m:sub>
                </m:sSub>
                <m:r>
                  <m:t>−</m:t>
                </m:r>
                <m:sSub>
                  <m:e>
                    <m:r>
                      <m:t>V</m:t>
                    </m:r>
                  </m:e>
                  <m:sub>
                    <m:r>
                      <m:t>supridor</m:t>
                    </m:r>
                  </m:sub>
                </m:sSub>
              </m:num>
              <m:den>
                <m:sSub>
                  <m:e>
                    <m:r>
                      <m:t>V</m:t>
                    </m:r>
                  </m:e>
                  <m:sub>
                    <m:r>
                      <m:t>supridor</m:t>
                    </m:r>
                  </m:sub>
                </m:sSub>
              </m:den>
            </m:f>
          </m:e>
        </m:d>
        <m:r>
          <m:t>×100</m:t>
        </m:r>
      </m:oMath>
    </w:p>
    <w:p>
      <w:r>
        <w:t>A tabela abaixo resume os critérios de aceitabilidade e limites de tolerância para a operação de sistemas de medição de gás natural:</w:t>
      </w:r>
    </w:p>
    <w:tbl>
      <w:tblPr>
        <w:tblStyle w:val="TableGrid"/>
        <w:tblW w:type="auto" w:w="0"/>
        <w:jc w:val="center"/>
        <w:tblLook w:firstColumn="1" w:firstRow="1" w:lastColumn="0" w:lastRow="0" w:noHBand="0" w:noVBand="1" w:val="04A0"/>
      </w:tblPr>
      <w:tblGrid>
        <w:gridCol w:w="3041"/>
        <w:gridCol w:w="3041"/>
        <w:gridCol w:w="3041"/>
      </w:tblGrid>
      <w:tr>
        <w:tc>
          <w:tcPr>
            <w:tcW w:type="dxa" w:w="3041"/>
            <w:shd w:fill="1A237E"/>
          </w:tcPr>
          <w:p>
            <w:pPr>
              <w:jc w:val="center"/>
            </w:pPr>
            <w:r>
              <w:rPr>
                <w:b/>
                <w:color w:val="FFFFFF"/>
                <w:sz w:val="18"/>
              </w:rPr>
              <w:t>Parâmetro Técnico</w:t>
            </w:r>
          </w:p>
        </w:tc>
        <w:tc>
          <w:tcPr>
            <w:tcW w:type="dxa" w:w="3041"/>
            <w:shd w:fill="1A237E"/>
          </w:tcPr>
          <w:p>
            <w:pPr>
              <w:jc w:val="center"/>
            </w:pPr>
            <w:r>
              <w:rPr>
                <w:b/>
                <w:color w:val="FFFFFF"/>
                <w:sz w:val="18"/>
              </w:rPr>
              <w:t>Limite de Tolerância</w:t>
            </w:r>
          </w:p>
        </w:tc>
        <w:tc>
          <w:tcPr>
            <w:tcW w:type="dxa" w:w="3041"/>
            <w:shd w:fill="1A237E"/>
          </w:tcPr>
          <w:p>
            <w:pPr>
              <w:jc w:val="center"/>
            </w:pPr>
            <w:r>
              <w:rPr>
                <w:b/>
                <w:color w:val="FFFFFF"/>
                <w:sz w:val="18"/>
              </w:rPr>
              <w:t>Aplicação</w:t>
            </w:r>
          </w:p>
        </w:tc>
      </w:tr>
      <w:tr>
        <w:tc>
          <w:tcPr>
            <w:tcW w:type="dxa" w:w="3041"/>
            <w:shd w:fill="F5F5F5"/>
          </w:tcPr>
          <w:p>
            <w:r>
              <w:rPr>
                <w:sz w:val="18"/>
              </w:rPr>
              <w:t>Erro Máximo Permissível (EMP)</w:t>
            </w:r>
          </w:p>
        </w:tc>
        <w:tc>
          <w:tcPr>
            <w:tcW w:type="dxa" w:w="3041"/>
            <w:shd w:fill="F5F5F5"/>
          </w:tcPr>
          <w:p>
            <w:r>
              <w:rPr>
                <w:sz w:val="18"/>
              </w:rPr>
              <w:t>$\pm$ 1,00%</w:t>
            </w:r>
          </w:p>
        </w:tc>
        <w:tc>
          <w:tcPr>
            <w:tcW w:type="dxa" w:w="3041"/>
            <w:shd w:fill="F5F5F5"/>
          </w:tcPr>
          <w:p>
            <w:r>
              <w:rPr>
                <w:sz w:val="18"/>
              </w:rPr>
              <w:t>Calibração do Elemento Primário</w:t>
            </w:r>
          </w:p>
        </w:tc>
      </w:tr>
      <w:tr>
        <w:tc>
          <w:tcPr>
            <w:tcW w:type="dxa" w:w="3041"/>
          </w:tcPr>
          <w:p>
            <w:r>
              <w:rPr>
                <w:sz w:val="18"/>
              </w:rPr>
              <w:t>Incerteza Expandida do Sistema</w:t>
            </w:r>
          </w:p>
        </w:tc>
        <w:tc>
          <w:tcPr>
            <w:tcW w:type="dxa" w:w="3041"/>
          </w:tcPr>
          <w:p>
            <w:r>
              <w:rPr>
                <w:sz w:val="18"/>
              </w:rPr>
              <w:t>$\leq$ 1,50%</w:t>
            </w:r>
          </w:p>
        </w:tc>
        <w:tc>
          <w:tcPr>
            <w:tcW w:type="dxa" w:w="3041"/>
          </w:tcPr>
          <w:p>
            <w:r>
              <w:rPr>
                <w:sz w:val="18"/>
              </w:rPr>
              <w:t>Medição Fiscal / Custódia</w:t>
            </w:r>
          </w:p>
        </w:tc>
      </w:tr>
      <w:tr>
        <w:tc>
          <w:tcPr>
            <w:tcW w:type="dxa" w:w="3041"/>
            <w:shd w:fill="F5F5F5"/>
          </w:tcPr>
          <w:p>
            <w:r>
              <w:rPr>
                <w:sz w:val="18"/>
              </w:rPr>
              <w:t>Diferença entre Medidores (Série)</w:t>
            </w:r>
          </w:p>
        </w:tc>
        <w:tc>
          <w:tcPr>
            <w:tcW w:type="dxa" w:w="3041"/>
            <w:shd w:fill="F5F5F5"/>
          </w:tcPr>
          <w:p>
            <w:r>
              <w:rPr>
                <w:sz w:val="18"/>
              </w:rPr>
              <w:t>$\leq$ 2,00%</w:t>
            </w:r>
          </w:p>
        </w:tc>
        <w:tc>
          <w:tcPr>
            <w:tcW w:type="dxa" w:w="3041"/>
            <w:shd w:fill="F5F5F5"/>
          </w:tcPr>
          <w:p>
            <w:r>
              <w:rPr>
                <w:sz w:val="18"/>
              </w:rPr>
              <w:t>Validação de Dados Diários</w:t>
            </w:r>
          </w:p>
        </w:tc>
      </w:tr>
      <w:tr>
        <w:tc>
          <w:tcPr>
            <w:tcW w:type="dxa" w:w="3041"/>
          </w:tcPr>
          <w:p>
            <w:r>
              <w:rPr>
                <w:sz w:val="18"/>
              </w:rPr>
              <w:t>Repetibilidade do Sistema</w:t>
            </w:r>
          </w:p>
        </w:tc>
        <w:tc>
          <w:tcPr>
            <w:tcW w:type="dxa" w:w="3041"/>
          </w:tcPr>
          <w:p>
            <w:r>
              <w:rPr>
                <w:sz w:val="18"/>
              </w:rPr>
              <w:t>$\leq$ 0,25%</w:t>
            </w:r>
          </w:p>
        </w:tc>
        <w:tc>
          <w:tcPr>
            <w:tcW w:type="dxa" w:w="3041"/>
          </w:tcPr>
          <w:p>
            <w:r>
              <w:rPr>
                <w:sz w:val="18"/>
              </w:rPr>
              <w:t>Ensaios de Campo</w:t>
            </w:r>
          </w:p>
        </w:tc>
      </w:tr>
    </w:tbl>
    <w:p/>
    <w:p>
      <w:pPr>
        <w:pStyle w:val="Heading4"/>
      </w:pPr>
      <w:r>
        <w:t>Falha Presumida e Critérios de Reparo</w:t>
      </w:r>
    </w:p>
    <w:p>
      <w:r>
        <w:t xml:space="preserve">Define-se como </w:t>
      </w:r>
      <w:r>
        <w:rPr>
          <w:b/>
        </w:rPr>
        <w:t>Falha Presumida</w:t>
      </w:r>
      <w:r>
        <w:t xml:space="preserve"> a situação em que o sistema de medição apresenta um comportamento fora dos limites de tolerância estabelecidos, mesmo que não haja uma falha catastrófica visível. Os principais gatilhos para a declaração de falha presumida são:</w:t>
      </w:r>
    </w:p>
    <w:p>
      <w:pPr>
        <w:pStyle w:val="ListNumber"/>
      </w:pPr>
      <w:r>
        <w:rPr>
          <w:b/>
        </w:rPr>
        <w:t>Deriva Metrológica (Drift):</w:t>
      </w:r>
      <w:r>
        <w:t xml:space="preserve"> Quando a diferença entre calibrações sucessivas ultrapassa o limite de </w:t>
      </w:r>
      <w:r>
        <w:rPr>
          <w:b/>
        </w:rPr>
        <w:t>0,30%</w:t>
      </w:r>
      <w:r>
        <w:t xml:space="preserve"> para o medidor ou </w:t>
      </w:r>
      <w:r>
        <w:rPr>
          <w:b/>
        </w:rPr>
        <w:t>0,10%</w:t>
      </w:r>
      <w:r>
        <w:t xml:space="preserve"> para os transdutores de pressão e temperatura.</w:t>
      </w:r>
    </w:p>
    <w:p>
      <w:pPr>
        <w:pStyle w:val="ListNumber"/>
      </w:pPr>
      <w:r>
        <w:rPr>
          <w:b/>
        </w:rPr>
        <w:t>Incongruência de Dados:</w:t>
      </w:r>
      <w:r>
        <w:t xml:space="preserve"> Divergência persistente entre os volumes registrados pelo sistema principal e pelo sistema de contingência superior a </w:t>
      </w:r>
      <w:r>
        <w:rPr>
          <w:b/>
        </w:rPr>
        <w:t>2,00%</w:t>
      </w:r>
      <w:r>
        <w:t>.</w:t>
      </w:r>
    </w:p>
    <w:p>
      <w:pPr>
        <w:pStyle w:val="ListNumber"/>
      </w:pPr>
      <w:r>
        <w:rPr>
          <w:b/>
        </w:rPr>
        <w:t>Alarmes de Diagnóstico:</w:t>
      </w:r>
      <w:r>
        <w:t xml:space="preserve"> Em medidores ultrassônicos, variações anômalas na velocidade do som (VOS) ou na relação de ganho de sinal indicam presença de contaminantes ou falha eletrônica.</w:t>
      </w:r>
    </w:p>
    <w:p>
      <w:r>
        <w:t>Sempre que uma falha é detectada ou presumida, deve-se proceder ao cálculo do volume estimado através de métodos substitutivos previstos em contrato, priorizando-se o uso do medidor de verificação (Check) se este estiver com a calibração válida e dentro das incertezas requeridas.</w:t>
      </w:r>
    </w:p>
    <w:p>
      <w:pPr>
        <w:pStyle w:val="Heading2"/>
      </w:pPr>
      <w:r>
        <w:t>Análise dos Dados</w:t>
      </w:r>
    </w:p>
    <w:p>
      <w:r>
        <w:t xml:space="preserve">A avaliação estatística dos volumes de entrada no distrito de distribuição, compreendendo o período de 01 de abril a 30 de setembro de 2025, revela o comportamento operacional e a integridade metrológica do sistema de medição de custódia. Durante os 183 dias analisados, o volume total movimentado foi de </w:t>
      </w:r>
      <w:r>
        <w:rPr>
          <w:b/>
        </w:rPr>
        <w:t>182.919.850 $Nm^3$</w:t>
      </w:r>
      <w:r>
        <w:t>, estabelecendo uma base de dados robusta para a verificação de conformidade.</w:t>
      </w:r>
    </w:p>
    <w:p>
      <w:pPr>
        <w:pStyle w:val="Heading3"/>
      </w:pPr>
      <w:r>
        <w:t>2.1.1 Perfil de Demanda e Variabilidade Operacional</w:t>
      </w:r>
    </w:p>
    <w:p>
      <w:r>
        <w:t xml:space="preserve">O escoamento médio diário registrou a marca de </w:t>
      </w:r>
      <w:r>
        <w:rPr>
          <w:b/>
        </w:rPr>
        <w:t>999.562,0 $Nm^3/d$</w:t>
      </w:r>
      <w:r>
        <w:t xml:space="preserve">, o que equivale a uma vazão média horária de </w:t>
      </w:r>
      <w:r>
        <w:rPr>
          <w:b/>
        </w:rPr>
        <w:t>41.648,42 $m^3/h$</w:t>
      </w:r>
      <w:r>
        <w:t>. No entanto, observa-se uma amplitude significativa entre os valores extremos, conforme detalhado na tabela abaixo:</w:t>
      </w:r>
    </w:p>
    <w:tbl>
      <w:tblPr>
        <w:tblStyle w:val="TableGrid"/>
        <w:tblW w:type="auto" w:w="0"/>
        <w:jc w:val="center"/>
        <w:tblLook w:firstColumn="1" w:firstRow="1" w:lastColumn="0" w:lastRow="0" w:noHBand="0" w:noVBand="1" w:val="04A0"/>
      </w:tblPr>
      <w:tblGrid>
        <w:gridCol w:w="3041"/>
        <w:gridCol w:w="3041"/>
        <w:gridCol w:w="3041"/>
      </w:tblGrid>
      <w:tr>
        <w:tc>
          <w:tcPr>
            <w:tcW w:type="dxa" w:w="3041"/>
            <w:shd w:fill="1A237E"/>
          </w:tcPr>
          <w:p>
            <w:pPr>
              <w:jc w:val="center"/>
            </w:pPr>
            <w:r>
              <w:rPr>
                <w:b/>
                <w:color w:val="FFFFFF"/>
                <w:sz w:val="18"/>
              </w:rPr>
              <w:t>Parâmetro Estatístico</w:t>
            </w:r>
          </w:p>
        </w:tc>
        <w:tc>
          <w:tcPr>
            <w:tcW w:type="dxa" w:w="3041"/>
            <w:shd w:fill="1A237E"/>
          </w:tcPr>
          <w:p>
            <w:pPr>
              <w:jc w:val="center"/>
            </w:pPr>
            <w:r>
              <w:rPr>
                <w:b/>
                <w:color w:val="FFFFFF"/>
                <w:sz w:val="18"/>
              </w:rPr>
              <w:t>Valor em Condições Normais ($Nm^3/d$)</w:t>
            </w:r>
          </w:p>
        </w:tc>
        <w:tc>
          <w:tcPr>
            <w:tcW w:type="dxa" w:w="3041"/>
            <w:shd w:fill="1A237E"/>
          </w:tcPr>
          <w:p>
            <w:pPr>
              <w:jc w:val="center"/>
            </w:pPr>
            <w:r>
              <w:rPr>
                <w:b/>
                <w:color w:val="FFFFFF"/>
                <w:sz w:val="18"/>
              </w:rPr>
              <w:t>Vazão Horária Equivalente ($m^3/h$)</w:t>
            </w:r>
          </w:p>
        </w:tc>
      </w:tr>
      <w:tr>
        <w:tc>
          <w:tcPr>
            <w:tcW w:type="dxa" w:w="3041"/>
            <w:shd w:fill="F5F5F5"/>
          </w:tcPr>
          <w:p>
            <w:r>
              <w:rPr>
                <w:sz w:val="18"/>
              </w:rPr>
              <w:t>Volume Médio Diário</w:t>
            </w:r>
          </w:p>
        </w:tc>
        <w:tc>
          <w:tcPr>
            <w:tcW w:type="dxa" w:w="3041"/>
            <w:shd w:fill="F5F5F5"/>
          </w:tcPr>
          <w:p>
            <w:r>
              <w:rPr>
                <w:sz w:val="18"/>
              </w:rPr>
              <w:t>999.562,0</w:t>
            </w:r>
          </w:p>
        </w:tc>
        <w:tc>
          <w:tcPr>
            <w:tcW w:type="dxa" w:w="3041"/>
            <w:shd w:fill="F5F5F5"/>
          </w:tcPr>
          <w:p>
            <w:r>
              <w:rPr>
                <w:sz w:val="18"/>
              </w:rPr>
              <w:t>41.648,42</w:t>
            </w:r>
          </w:p>
        </w:tc>
      </w:tr>
      <w:tr>
        <w:tc>
          <w:tcPr>
            <w:tcW w:type="dxa" w:w="3041"/>
          </w:tcPr>
          <w:p>
            <w:r>
              <w:rPr>
                <w:sz w:val="18"/>
              </w:rPr>
              <w:t>Volume Mínimo Diário</w:t>
            </w:r>
          </w:p>
        </w:tc>
        <w:tc>
          <w:tcPr>
            <w:tcW w:type="dxa" w:w="3041"/>
          </w:tcPr>
          <w:p>
            <w:r>
              <w:rPr>
                <w:sz w:val="18"/>
              </w:rPr>
              <w:t>505.965,0</w:t>
            </w:r>
          </w:p>
        </w:tc>
        <w:tc>
          <w:tcPr>
            <w:tcW w:type="dxa" w:w="3041"/>
          </w:tcPr>
          <w:p>
            <w:r>
              <w:rPr>
                <w:sz w:val="18"/>
              </w:rPr>
              <w:t>21.081,87</w:t>
            </w:r>
          </w:p>
        </w:tc>
      </w:tr>
      <w:tr>
        <w:tc>
          <w:tcPr>
            <w:tcW w:type="dxa" w:w="3041"/>
            <w:shd w:fill="F5F5F5"/>
          </w:tcPr>
          <w:p>
            <w:r>
              <w:rPr>
                <w:sz w:val="18"/>
              </w:rPr>
              <w:t>Volume Máximo Diário</w:t>
            </w:r>
          </w:p>
        </w:tc>
        <w:tc>
          <w:tcPr>
            <w:tcW w:type="dxa" w:w="3041"/>
            <w:shd w:fill="F5F5F5"/>
          </w:tcPr>
          <w:p>
            <w:r>
              <w:rPr>
                <w:sz w:val="18"/>
              </w:rPr>
              <w:t>1.240.865,0</w:t>
            </w:r>
          </w:p>
        </w:tc>
        <w:tc>
          <w:tcPr>
            <w:tcW w:type="dxa" w:w="3041"/>
            <w:shd w:fill="F5F5F5"/>
          </w:tcPr>
          <w:p>
            <w:r>
              <w:rPr>
                <w:sz w:val="18"/>
              </w:rPr>
              <w:t>51.702,70</w:t>
            </w:r>
          </w:p>
        </w:tc>
      </w:tr>
      <w:tr>
        <w:tc>
          <w:tcPr>
            <w:tcW w:type="dxa" w:w="3041"/>
          </w:tcPr>
          <w:p>
            <w:r>
              <w:rPr>
                <w:sz w:val="18"/>
              </w:rPr>
              <w:t>Desvio Padrão</w:t>
            </w:r>
          </w:p>
        </w:tc>
        <w:tc>
          <w:tcPr>
            <w:tcW w:type="dxa" w:w="3041"/>
          </w:tcPr>
          <w:p>
            <w:r>
              <w:rPr>
                <w:sz w:val="18"/>
              </w:rPr>
              <w:t>168.609,2</w:t>
            </w:r>
          </w:p>
        </w:tc>
        <w:tc>
          <w:tcPr>
            <w:tcW w:type="dxa" w:w="3041"/>
          </w:tcPr>
          <w:p>
            <w:r>
              <w:rPr>
                <w:sz w:val="18"/>
              </w:rPr>
              <w:t>-</w:t>
            </w:r>
          </w:p>
        </w:tc>
      </w:tr>
    </w:tbl>
    <w:p/>
    <w:p>
      <w:r>
        <w:t xml:space="preserve">A análise da </w:t>
      </w:r>
      <w:r>
        <w:rPr>
          <w:b/>
        </w:rPr>
        <w:t>razão de desvio</w:t>
      </w:r>
      <w:r>
        <w:t xml:space="preserve"> (turndown ratio) operacional demonstra que o sistema opera com flutuações consideráveis. O desvio padrão de </w:t>
      </w:r>
      <w:r>
        <w:rPr>
          <w:b/>
        </w:rPr>
        <w:t>168.609,2 $Nm^3/d$</w:t>
      </w:r>
      <w:r>
        <w:t xml:space="preserve"> indica uma variabilidade de aproximadamente 16,8% em relação à média, sugerindo uma carga de demanda influenciada por sazonalidade ou ciclos industriais específicos dentro do semestre. A mínima registrada representa apenas 40,7% do volume máximo, o que exige que o arranjo de medição (trechos de medição em paralelo ou medidores de ampla faixa) mantenha a </w:t>
      </w:r>
      <w:r>
        <w:rPr>
          <w:b/>
        </w:rPr>
        <w:t>incerteza expandida</w:t>
      </w:r>
      <w:r>
        <w:t xml:space="preserve"> dentro dos limites regulamentares mesmo em regimes de baixa vazão.</w:t>
      </w:r>
    </w:p>
    <w:p>
      <w:pPr>
        <w:pStyle w:val="Heading3"/>
      </w:pPr>
      <w:r>
        <w:t>2.1.2 Integridade Metrológica e Concordância entre Partes</w:t>
      </w:r>
    </w:p>
    <w:p>
      <w:r>
        <w:t xml:space="preserve">Um ponto crítico na auditoria de sistemas de medição de gás natural é a divergência entre os volumes computados pela </w:t>
      </w:r>
      <w:r>
        <w:rPr>
          <w:b/>
        </w:rPr>
        <w:t>Unidade de Medida da Concessionária</w:t>
      </w:r>
      <w:r>
        <w:t xml:space="preserve"> e pela </w:t>
      </w:r>
      <w:r>
        <w:rPr>
          <w:b/>
        </w:rPr>
        <w:t>Estação de Medição da Transportadora</w:t>
      </w:r>
      <w:r>
        <w:t>. Os dados demonstram um alinhamento técnico excepcional entre os ativos de medição.</w:t>
      </w:r>
    </w:p>
    <w:tbl>
      <w:tblPr>
        <w:tblStyle w:val="TableGrid"/>
        <w:tblW w:type="auto" w:w="0"/>
        <w:jc w:val="center"/>
        <w:tblLook w:firstColumn="1" w:firstRow="1" w:lastColumn="0" w:lastRow="0" w:noHBand="0" w:noVBand="1" w:val="04A0"/>
      </w:tblPr>
      <w:tblGrid>
        <w:gridCol w:w="3041"/>
        <w:gridCol w:w="3041"/>
        <w:gridCol w:w="3041"/>
      </w:tblGrid>
      <w:tr>
        <w:tc>
          <w:tcPr>
            <w:tcW w:type="dxa" w:w="3041"/>
            <w:shd w:fill="1A237E"/>
          </w:tcPr>
          <w:p>
            <w:pPr>
              <w:jc w:val="center"/>
            </w:pPr>
            <w:r>
              <w:rPr>
                <w:b/>
                <w:color w:val="FFFFFF"/>
                <w:sz w:val="18"/>
              </w:rPr>
              <w:t>Indicador de Erro Relativo</w:t>
            </w:r>
          </w:p>
        </w:tc>
        <w:tc>
          <w:tcPr>
            <w:tcW w:type="dxa" w:w="3041"/>
            <w:shd w:fill="1A237E"/>
          </w:tcPr>
          <w:p>
            <w:pPr>
              <w:jc w:val="center"/>
            </w:pPr>
            <w:r>
              <w:rPr>
                <w:b/>
                <w:color w:val="FFFFFF"/>
                <w:sz w:val="18"/>
              </w:rPr>
              <w:t>Valor Apurado</w:t>
            </w:r>
          </w:p>
        </w:tc>
        <w:tc>
          <w:tcPr>
            <w:tcW w:type="dxa" w:w="3041"/>
            <w:shd w:fill="1A237E"/>
          </w:tcPr>
          <w:p>
            <w:pPr>
              <w:jc w:val="center"/>
            </w:pPr>
            <w:r>
              <w:rPr>
                <w:b/>
                <w:color w:val="FFFFFF"/>
                <w:sz w:val="18"/>
              </w:rPr>
              <w:t>Limite Normativo de Referência</w:t>
            </w:r>
          </w:p>
        </w:tc>
      </w:tr>
      <w:tr>
        <w:tc>
          <w:tcPr>
            <w:tcW w:type="dxa" w:w="3041"/>
            <w:shd w:fill="F5F5F5"/>
          </w:tcPr>
          <w:p>
            <w:r>
              <w:rPr>
                <w:sz w:val="18"/>
              </w:rPr>
              <w:t>Diferença Média</w:t>
            </w:r>
          </w:p>
        </w:tc>
        <w:tc>
          <w:tcPr>
            <w:tcW w:type="dxa" w:w="3041"/>
            <w:shd w:fill="F5F5F5"/>
          </w:tcPr>
          <w:p>
            <w:r>
              <w:rPr>
                <w:sz w:val="18"/>
              </w:rPr>
              <w:t>-0,000009%</w:t>
            </w:r>
          </w:p>
        </w:tc>
        <w:tc>
          <w:tcPr>
            <w:tcW w:type="dxa" w:w="3041"/>
            <w:shd w:fill="F5F5F5"/>
          </w:tcPr>
          <w:p>
            <w:r>
              <w:rPr>
                <w:sz w:val="18"/>
              </w:rPr>
              <w:t>$\pm$ 0,30%</w:t>
            </w:r>
          </w:p>
        </w:tc>
      </w:tr>
      <w:tr>
        <w:tc>
          <w:tcPr>
            <w:tcW w:type="dxa" w:w="3041"/>
          </w:tcPr>
          <w:p>
            <w:r>
              <w:rPr>
                <w:sz w:val="18"/>
              </w:rPr>
              <w:t>Diferença Máxima</w:t>
            </w:r>
          </w:p>
        </w:tc>
        <w:tc>
          <w:tcPr>
            <w:tcW w:type="dxa" w:w="3041"/>
          </w:tcPr>
          <w:p>
            <w:r>
              <w:rPr>
                <w:sz w:val="18"/>
              </w:rPr>
              <w:t>0,000083%</w:t>
            </w:r>
          </w:p>
        </w:tc>
        <w:tc>
          <w:tcPr>
            <w:tcW w:type="dxa" w:w="3041"/>
          </w:tcPr>
          <w:p>
            <w:r>
              <w:rPr>
                <w:sz w:val="18"/>
              </w:rPr>
              <w:t>$\pm$ 0,50%</w:t>
            </w:r>
          </w:p>
        </w:tc>
      </w:tr>
      <w:tr>
        <w:tc>
          <w:tcPr>
            <w:tcW w:type="dxa" w:w="3041"/>
            <w:shd w:fill="F5F5F5"/>
          </w:tcPr>
          <w:p>
            <w:r>
              <w:rPr>
                <w:sz w:val="18"/>
              </w:rPr>
              <w:t>Grau de Concordância</w:t>
            </w:r>
          </w:p>
        </w:tc>
        <w:tc>
          <w:tcPr>
            <w:tcW w:type="dxa" w:w="3041"/>
            <w:shd w:fill="F5F5F5"/>
          </w:tcPr>
          <w:p>
            <w:r>
              <w:rPr>
                <w:sz w:val="18"/>
              </w:rPr>
              <w:t>&lt; 0,01%</w:t>
            </w:r>
          </w:p>
        </w:tc>
        <w:tc>
          <w:tcPr>
            <w:tcW w:type="dxa" w:w="3041"/>
            <w:shd w:fill="F5F5F5"/>
          </w:tcPr>
          <w:p>
            <w:r>
              <w:rPr>
                <w:sz w:val="18"/>
              </w:rPr>
              <w:t>Excelente</w:t>
            </w:r>
          </w:p>
        </w:tc>
      </w:tr>
    </w:tbl>
    <w:p/>
    <w:p>
      <w:r>
        <w:t xml:space="preserve">A diferença média apurada de </w:t>
      </w:r>
      <w:r>
        <w:rPr>
          <w:b/>
        </w:rPr>
        <w:t>-0,000009%</w:t>
      </w:r>
      <w:r>
        <w:t xml:space="preserve"> é virtualmente desprezível, situando-se muito abaixo dos limites de tolerância usuais para fiscalização e balanço de redes. Mesmo o desvio máximo de </w:t>
      </w:r>
      <w:r>
        <w:rPr>
          <w:b/>
        </w:rPr>
        <w:t>0,000083%</w:t>
      </w:r>
      <w:r>
        <w:t xml:space="preserve"> demonstra que os sistemas de correção de volume (PTZ) e os sensores de pressão e temperatura estão operando com alta repetitividade e estabilidade.</w:t>
      </w:r>
    </w:p>
    <w:p>
      <w:r>
        <w:t xml:space="preserve">A concordância inferior a 0,01% indica que o </w:t>
      </w:r>
      <w:r>
        <w:rPr>
          <w:b/>
        </w:rPr>
        <w:t>erro sistemático</w:t>
      </w:r>
      <w:r>
        <w:t xml:space="preserve"> entre os sistemas é quase nulo, e que as incertezas aleatórias estão sendo mitigadas de forma eficaz. Matematicamente, a combinação das incertezas pelo método </w:t>
      </w:r>
      <w:r>
        <w:rPr>
          <w:b/>
        </w:rPr>
        <w:t>RSS (Root Sum Square)</w:t>
      </w:r>
      <w:r>
        <w:t xml:space="preserve"> para os dois sistemas de medição resultaria em uma incerteza combinada significativamente maior do que o desvio real observado, o que atesta a excelência da calibração e manutenção dos instrumentos no período.</w:t>
      </w:r>
    </w:p>
    <w:p>
      <w:pPr>
        <w:pStyle w:val="Heading3"/>
      </w:pPr>
      <w:r>
        <w:t>2.1.3 Considerações sobre a Estabilidade do Escoamento</w:t>
      </w:r>
    </w:p>
    <w:p>
      <w:r>
        <w:t xml:space="preserve">Embora a variação entre o volume mínimo e máximo seja expressiva, não foram detectadas anomalias que sugerissem falhas de medição por transientes bruscos ou problemas de pulsação. A estabilidade do volume médio em torno de </w:t>
      </w:r>
      <w:r>
        <w:rPr>
          <w:b/>
        </w:rPr>
        <w:t>1,0 milhão de $Nm^3/d$</w:t>
      </w:r>
      <w:r>
        <w:t xml:space="preserve"> confirma a maturidade do distrito de distribuição. A manutenção dos níveis de </w:t>
      </w:r>
      <w:r>
        <w:rPr>
          <w:b/>
        </w:rPr>
        <w:t>PCS (Poder Calorífico Superior)</w:t>
      </w:r>
      <w:r>
        <w:t xml:space="preserve"> e a correta aplicação do fator de compressibilidade (</w:t>
      </w:r>
      <m:oMath>
        <m:r>
          <m:t>Z</m:t>
        </m:r>
      </m:oMath>
      <w:r>
        <w:t>) nos computadores de vazão são fundamentais para garantir que essa precisão volumétrica se traduza em faturamento energético correto para o sistema.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029200" cy="1843828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vol_entrada_serie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184382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i/>
          <w:color w:val="666666"/>
          <w:sz w:val="18"/>
        </w:rPr>
        <w:t>Figura 2.1: Série temporal de volumes diários de entrada</w:t>
      </w:r>
    </w:p>
    <w:p/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029200" cy="248175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vol_entrada_diferencas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481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i/>
          <w:color w:val="666666"/>
          <w:sz w:val="18"/>
        </w:rPr>
        <w:t>Figura 2.2: Diferenças entre Concessionária e Transportadora</w:t>
      </w:r>
    </w:p>
    <w:p/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029200" cy="1528046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vol_entrada_histograma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152804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i/>
          <w:color w:val="666666"/>
          <w:sz w:val="18"/>
        </w:rPr>
        <w:t>Figura 2.3: Distribuição das diferenças volumétricas</w:t>
      </w:r>
    </w:p>
    <w:p/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029200" cy="2108237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vol_entrada_boxplot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0823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i/>
          <w:color w:val="666666"/>
          <w:sz w:val="18"/>
        </w:rPr>
        <w:t>Figura 2.4: Boxplots mensais dos volumes de entrada</w:t>
      </w:r>
    </w:p>
    <w:p/>
    <w:p>
      <w:pPr>
        <w:pStyle w:val="Heading2"/>
      </w:pPr>
      <w:r>
        <w:t>Discussão dos Gráficos</w:t>
      </w:r>
    </w:p>
    <w:p>
      <w:r>
        <w:t>A análise visual dos dados de medição do distrito de distribuição, compreendendo o período de abril a setembro de 2025, permite identificar o comportamento operacional e a integridade metrológica do sistema por meio das figuras apresentadas a seguir.</w:t>
      </w:r>
    </w:p>
    <w:p>
      <w:pPr>
        <w:pStyle w:val="Heading4"/>
      </w:pPr>
      <w:r>
        <w:t>Análise da Série Temporal e Concordância de Medição</w:t>
      </w:r>
    </w:p>
    <w:p>
      <w:r>
        <w:t xml:space="preserve">Na </w:t>
      </w:r>
      <w:r>
        <w:rPr>
          <w:b/>
        </w:rPr>
        <w:t>Figura 2.1</w:t>
      </w:r>
      <w:r>
        <w:t xml:space="preserve">, observa-se a série temporal dos volumes diários de entrada expressos em </w:t>
      </w:r>
      <w:r>
        <w:rPr>
          <w:b/>
        </w:rPr>
        <w:t>$10^3$ Nm³/d</w:t>
      </w:r>
      <w:r>
        <w:t xml:space="preserve">. Nota-se uma sobreposição quase completa entre as curvas da </w:t>
      </w:r>
      <w:r>
        <w:rPr>
          <w:b/>
        </w:rPr>
        <w:t>Concessionária</w:t>
      </w:r>
      <w:r>
        <w:t xml:space="preserve"> e da </w:t>
      </w:r>
      <w:r>
        <w:rPr>
          <w:b/>
        </w:rPr>
        <w:t>Transportadora</w:t>
      </w:r>
      <w:r>
        <w:t xml:space="preserve">, o que indica, preliminarmente, uma excelente concordância entre os sistemas de medição principal e de custódia. O volume médio do período situa-se no patamar de </w:t>
      </w:r>
      <w:r>
        <w:rPr>
          <w:b/>
        </w:rPr>
        <w:t>1.000 mil Nm³/d</w:t>
      </w:r>
      <w:r>
        <w:t xml:space="preserve">, porém com oscilações significativas. É possível identificar quedas bruscas no volume de entrada, notadamente no final de abril, início de julho e, de forma mais acentuada, na segunda quinzena de agosto, onde o volume atingiu valores próximos a </w:t>
      </w:r>
      <w:r>
        <w:rPr>
          <w:b/>
        </w:rPr>
        <w:t>600 mil Nm³/d</w:t>
      </w:r>
      <w:r>
        <w:t>, sugerindo paradas programadas para manutenção ou variações sazonais atípicas na demanda.</w:t>
      </w:r>
    </w:p>
    <w:p>
      <w:pPr>
        <w:pStyle w:val="Heading4"/>
      </w:pPr>
      <w:r>
        <w:t>Comportamento do Erro de Medição e Estabilidade</w:t>
      </w:r>
    </w:p>
    <w:p>
      <w:r>
        <w:t xml:space="preserve">Na </w:t>
      </w:r>
      <w:r>
        <w:rPr>
          <w:b/>
        </w:rPr>
        <w:t>Figura 2.2</w:t>
      </w:r>
      <w:r>
        <w:t xml:space="preserve">, as diferenças absolutas e percentuais são detalhadas cronologicamente. No gráfico superior, observa-se que a </w:t>
      </w:r>
      <w:r>
        <w:rPr>
          <w:b/>
        </w:rPr>
        <w:t>Diferença Absoluta</w:t>
      </w:r>
      <w:r>
        <w:t xml:space="preserve"> oscila dentro de uma banda estreita, tipicamente entre </w:t>
      </w:r>
      <w:r>
        <w:rPr>
          <w:b/>
        </w:rPr>
        <w:t>-0,5 Nm³</w:t>
      </w:r>
      <w:r>
        <w:t xml:space="preserve"> e </w:t>
      </w:r>
      <w:r>
        <w:rPr>
          <w:b/>
        </w:rPr>
        <w:t>+0,4 Nm³</w:t>
      </w:r>
      <w:r>
        <w:t xml:space="preserve">. No gráfico inferior, a </w:t>
      </w:r>
      <w:r>
        <w:rPr>
          <w:b/>
        </w:rPr>
        <w:t>Diferença Percentual</w:t>
      </w:r>
      <w:r>
        <w:t xml:space="preserve"> revela valores extremamente reduzidos, da ordem de </w:t>
      </w:r>
      <m:oMath>
        <m:sSup>
          <m:e>
            <m:r>
              <m:t>10</m:t>
            </m:r>
          </m:e>
          <m:sup>
            <m:r>
              <m:t>−5</m:t>
            </m:r>
          </m:sup>
        </m:sSup>
        <m:r>
          <m:t>%</m:t>
        </m:r>
      </m:oMath>
      <w:r>
        <w:t>. Visualmente, não se detecta uma deriva progressiva (</w:t>
      </w:r>
      <w:r>
        <w:rPr>
          <w:i/>
        </w:rPr>
        <w:t>drift</w:t>
      </w:r>
      <w:r>
        <w:t>) acentuada ao longo dos 183 dias, indicando que os instrumentos mantiveram sua estabilidade operacional. Entretanto, nota-se uma maior densidade de valores negativos na segunda metade do período (agosto e setembro), o que pode indicar uma mudança sutil no perfil de erro sistemático do sistema.</w:t>
      </w:r>
    </w:p>
    <w:p>
      <w:pPr>
        <w:pStyle w:val="Heading4"/>
      </w:pPr>
      <w:r>
        <w:t>Perfil Estatístico das Diferenças de Volume</w:t>
      </w:r>
    </w:p>
    <w:p>
      <w:r>
        <w:t xml:space="preserve">Na </w:t>
      </w:r>
      <w:r>
        <w:rPr>
          <w:b/>
        </w:rPr>
        <w:t>Figura 2.3</w:t>
      </w:r>
      <w:r>
        <w:t>, os histogramas de distribuição reforçam a análise de estabilidade metrológica:</w:t>
      </w:r>
    </w:p>
    <w:p>
      <w:pPr>
        <w:pStyle w:val="ListBullet"/>
      </w:pPr>
      <w:r>
        <w:t xml:space="preserve">  A </w:t>
      </w:r>
      <w:r>
        <w:rPr>
          <w:b/>
        </w:rPr>
        <w:t>Distribuição da Diferença Absoluta</w:t>
      </w:r>
      <w:r>
        <w:t xml:space="preserve"> apresenta uma </w:t>
      </w:r>
      <w:r>
        <w:rPr>
          <w:b/>
        </w:rPr>
        <w:t>média de -0,087 Nm³</w:t>
      </w:r>
      <w:r>
        <w:t>, evidenciando um leve viés negativo (submedição sistemática residual da Concessionária em relação à Transportadora). A distribuição não é perfeitamente normal, apresentando características multimodais que podem estar associadas a diferentes regimes de vazão.</w:t>
      </w:r>
    </w:p>
    <w:p>
      <w:pPr>
        <w:pStyle w:val="ListBullet"/>
      </w:pPr>
      <w:r>
        <w:t xml:space="preserve">  A </w:t>
      </w:r>
      <w:r>
        <w:rPr>
          <w:b/>
        </w:rPr>
        <w:t>Distribuição da Diferença Percentual</w:t>
      </w:r>
      <w:r>
        <w:t xml:space="preserve"> assemelha-se a uma curva gaussiana centrada ligeiramente à esquerda do zero. A dispersão total das diferenças situa-se bem abaixo dos limites de </w:t>
      </w:r>
      <w:r>
        <w:rPr>
          <w:b/>
        </w:rPr>
        <w:t>incerteza expandida</w:t>
      </w:r>
      <w:r>
        <w:t xml:space="preserve"> admitidos pela regulamentação vigente, confirmando a alta precisão do pareamento entre os medidores.</w:t>
      </w:r>
    </w:p>
    <w:p>
      <w:pPr>
        <w:pStyle w:val="Heading4"/>
      </w:pPr>
      <w:r>
        <w:t>Variabilidade Mensal e Identificação de Outliers</w:t>
      </w:r>
    </w:p>
    <w:p>
      <w:r>
        <w:t xml:space="preserve">Na </w:t>
      </w:r>
      <w:r>
        <w:rPr>
          <w:b/>
        </w:rPr>
        <w:t>Figura 2.4</w:t>
      </w:r>
      <w:r>
        <w:t xml:space="preserve">, os </w:t>
      </w:r>
      <w:r>
        <w:rPr>
          <w:b/>
        </w:rPr>
        <w:t>boxplots</w:t>
      </w:r>
      <w:r>
        <w:t xml:space="preserve"> mensais permitem uma síntese da variabilidade operacional do distrito:</w:t>
      </w:r>
    </w:p>
    <w:p>
      <w:pPr>
        <w:pStyle w:val="ListBullet"/>
      </w:pPr>
      <w:r>
        <w:t xml:space="preserve">  </w:t>
      </w:r>
      <w:r>
        <w:rPr>
          <w:b/>
        </w:rPr>
        <w:t>Abril, Maio e Junho:</w:t>
      </w:r>
      <w:r>
        <w:t xml:space="preserve"> Apresentam as maiores </w:t>
      </w:r>
      <w:r>
        <w:rPr>
          <w:b/>
        </w:rPr>
        <w:t>medianas</w:t>
      </w:r>
      <w:r>
        <w:t xml:space="preserve"> de volume, com destaque para junho, que demonstra maior consistência operacional (caixa mais compacta).</w:t>
      </w:r>
    </w:p>
    <w:p>
      <w:pPr>
        <w:pStyle w:val="ListBullet"/>
      </w:pPr>
      <w:r>
        <w:t xml:space="preserve">  </w:t>
      </w:r>
      <w:r>
        <w:rPr>
          <w:b/>
        </w:rPr>
        <w:t>Agosto:</w:t>
      </w:r>
      <w:r>
        <w:t xml:space="preserve"> Destaca-se como o mês de maior instabilidade e menor volume médio. A amplitude entre o primeiro e o terceiro quartil é a maior do período, refletindo a queda drástica de volume observada na série temporal.</w:t>
      </w:r>
    </w:p>
    <w:p>
      <w:pPr>
        <w:pStyle w:val="ListBullet"/>
      </w:pPr>
      <w:r>
        <w:t xml:space="preserve">  </w:t>
      </w:r>
      <w:r>
        <w:rPr>
          <w:b/>
        </w:rPr>
        <w:t>Outliers:</w:t>
      </w:r>
      <w:r>
        <w:t xml:space="preserve"> São observados pontos atípicos (valores discrepantes) nos meses de maio, julho e setembro, posicionados abaixo do limite inferior do </w:t>
      </w:r>
      <w:r>
        <w:rPr>
          <w:i/>
        </w:rPr>
        <w:t>whisker</w:t>
      </w:r>
      <w:r>
        <w:t>. Estes eventos representam dias de consumo excepcionalmente baixo que fogem ao padrão estatístico mensal, possivelmente relacionados a manobras operacionais na rede de distribuição.</w:t>
      </w:r>
    </w:p>
    <w:p>
      <w:r>
        <w:t>A Tabela 2.1 resume as tendências visuais observadas:</w:t>
      </w:r>
    </w:p>
    <w:tbl>
      <w:tblPr>
        <w:tblStyle w:val="TableGrid"/>
        <w:tblW w:type="auto" w:w="0"/>
        <w:jc w:val="center"/>
        <w:tblLook w:firstColumn="1" w:firstRow="1" w:lastColumn="0" w:lastRow="0" w:noHBand="0" w:noVBand="1" w:val="04A0"/>
      </w:tblPr>
      <w:tblGrid>
        <w:gridCol w:w="2280"/>
        <w:gridCol w:w="2280"/>
        <w:gridCol w:w="2280"/>
        <w:gridCol w:w="2280"/>
      </w:tblGrid>
      <w:tr>
        <w:tc>
          <w:tcPr>
            <w:tcW w:type="dxa" w:w="2280"/>
            <w:shd w:fill="1A237E"/>
          </w:tcPr>
          <w:p>
            <w:pPr>
              <w:jc w:val="center"/>
            </w:pPr>
            <w:r>
              <w:rPr>
                <w:b/>
                <w:color w:val="FFFFFF"/>
                <w:sz w:val="18"/>
              </w:rPr>
              <w:t>Mês</w:t>
            </w:r>
          </w:p>
        </w:tc>
        <w:tc>
          <w:tcPr>
            <w:tcW w:type="dxa" w:w="2280"/>
            <w:shd w:fill="1A237E"/>
          </w:tcPr>
          <w:p>
            <w:pPr>
              <w:jc w:val="center"/>
            </w:pPr>
            <w:r>
              <w:rPr>
                <w:b/>
                <w:color w:val="FFFFFF"/>
                <w:sz w:val="18"/>
              </w:rPr>
              <w:t>Tendência de Volume</w:t>
            </w:r>
          </w:p>
        </w:tc>
        <w:tc>
          <w:tcPr>
            <w:tcW w:type="dxa" w:w="2280"/>
            <w:shd w:fill="1A237E"/>
          </w:tcPr>
          <w:p>
            <w:pPr>
              <w:jc w:val="center"/>
            </w:pPr>
            <w:r>
              <w:rPr>
                <w:b/>
                <w:color w:val="FFFFFF"/>
                <w:sz w:val="18"/>
              </w:rPr>
              <w:t>Estabilidade Operacional</w:t>
            </w:r>
          </w:p>
        </w:tc>
        <w:tc>
          <w:tcPr>
            <w:tcW w:type="dxa" w:w="2280"/>
            <w:shd w:fill="1A237E"/>
          </w:tcPr>
          <w:p>
            <w:pPr>
              <w:jc w:val="center"/>
            </w:pPr>
            <w:r>
              <w:rPr>
                <w:b/>
                <w:color w:val="FFFFFF"/>
                <w:sz w:val="18"/>
              </w:rPr>
              <w:t>Presença de Outliers</w:t>
            </w:r>
          </w:p>
        </w:tc>
      </w:tr>
      <w:tr>
        <w:tc>
          <w:tcPr>
            <w:tcW w:type="dxa" w:w="2280"/>
            <w:shd w:fill="F5F5F5"/>
          </w:tcPr>
          <w:p>
            <w:r>
              <w:rPr>
                <w:sz w:val="18"/>
              </w:rPr>
              <w:t>Abril</w:t>
            </w:r>
          </w:p>
        </w:tc>
        <w:tc>
          <w:tcPr>
            <w:tcW w:type="dxa" w:w="2280"/>
            <w:shd w:fill="F5F5F5"/>
          </w:tcPr>
          <w:p>
            <w:r>
              <w:rPr>
                <w:sz w:val="18"/>
              </w:rPr>
              <w:t>Alta variabilidade</w:t>
            </w:r>
          </w:p>
        </w:tc>
        <w:tc>
          <w:tcPr>
            <w:tcW w:type="dxa" w:w="2280"/>
            <w:shd w:fill="F5F5F5"/>
          </w:tcPr>
          <w:p>
            <w:r>
              <w:rPr>
                <w:sz w:val="18"/>
              </w:rPr>
              <w:t>Moderada</w:t>
            </w:r>
          </w:p>
        </w:tc>
        <w:tc>
          <w:tcPr>
            <w:tcW w:type="dxa" w:w="2280"/>
            <w:shd w:fill="F5F5F5"/>
          </w:tcPr>
          <w:p>
            <w:r>
              <w:rPr>
                <w:sz w:val="18"/>
              </w:rPr>
              <w:t>Não observado</w:t>
            </w:r>
          </w:p>
        </w:tc>
      </w:tr>
      <w:tr>
        <w:tc>
          <w:tcPr>
            <w:tcW w:type="dxa" w:w="2280"/>
          </w:tcPr>
          <w:p>
            <w:r>
              <w:rPr>
                <w:sz w:val="18"/>
              </w:rPr>
              <w:t>Maio/Junho</w:t>
            </w:r>
          </w:p>
        </w:tc>
        <w:tc>
          <w:tcPr>
            <w:tcW w:type="dxa" w:w="2280"/>
          </w:tcPr>
          <w:p>
            <w:r>
              <w:rPr>
                <w:sz w:val="18"/>
              </w:rPr>
              <w:t>Pico de demanda</w:t>
            </w:r>
          </w:p>
        </w:tc>
        <w:tc>
          <w:tcPr>
            <w:tcW w:type="dxa" w:w="2280"/>
          </w:tcPr>
          <w:p>
            <w:r>
              <w:rPr>
                <w:sz w:val="18"/>
              </w:rPr>
              <w:t>Alta</w:t>
            </w:r>
          </w:p>
        </w:tc>
        <w:tc>
          <w:tcPr>
            <w:tcW w:type="dxa" w:w="2280"/>
          </w:tcPr>
          <w:p>
            <w:r>
              <w:rPr>
                <w:sz w:val="18"/>
              </w:rPr>
              <w:t>Sim (Maio)</w:t>
            </w:r>
          </w:p>
        </w:tc>
      </w:tr>
      <w:tr>
        <w:tc>
          <w:tcPr>
            <w:tcW w:type="dxa" w:w="2280"/>
            <w:shd w:fill="F5F5F5"/>
          </w:tcPr>
          <w:p>
            <w:r>
              <w:rPr>
                <w:sz w:val="18"/>
              </w:rPr>
              <w:t>Julho</w:t>
            </w:r>
          </w:p>
        </w:tc>
        <w:tc>
          <w:tcPr>
            <w:tcW w:type="dxa" w:w="2280"/>
            <w:shd w:fill="F5F5F5"/>
          </w:tcPr>
          <w:p>
            <w:r>
              <w:rPr>
                <w:sz w:val="18"/>
              </w:rPr>
              <w:t>Estável com queda pontual</w:t>
            </w:r>
          </w:p>
        </w:tc>
        <w:tc>
          <w:tcPr>
            <w:tcW w:type="dxa" w:w="2280"/>
            <w:shd w:fill="F5F5F5"/>
          </w:tcPr>
          <w:p>
            <w:r>
              <w:rPr>
                <w:sz w:val="18"/>
              </w:rPr>
              <w:t>Alta</w:t>
            </w:r>
          </w:p>
        </w:tc>
        <w:tc>
          <w:tcPr>
            <w:tcW w:type="dxa" w:w="2280"/>
            <w:shd w:fill="F5F5F5"/>
          </w:tcPr>
          <w:p>
            <w:r>
              <w:rPr>
                <w:sz w:val="18"/>
              </w:rPr>
              <w:t>Sim</w:t>
            </w:r>
          </w:p>
        </w:tc>
      </w:tr>
      <w:tr>
        <w:tc>
          <w:tcPr>
            <w:tcW w:type="dxa" w:w="2280"/>
          </w:tcPr>
          <w:p>
            <w:r>
              <w:rPr>
                <w:sz w:val="18"/>
              </w:rPr>
              <w:t>Agosto</w:t>
            </w:r>
          </w:p>
        </w:tc>
        <w:tc>
          <w:tcPr>
            <w:tcW w:type="dxa" w:w="2280"/>
          </w:tcPr>
          <w:p>
            <w:r>
              <w:rPr>
                <w:sz w:val="18"/>
              </w:rPr>
              <w:t>Queda severa</w:t>
            </w:r>
          </w:p>
        </w:tc>
        <w:tc>
          <w:tcPr>
            <w:tcW w:type="dxa" w:w="2280"/>
          </w:tcPr>
          <w:p>
            <w:r>
              <w:rPr>
                <w:sz w:val="18"/>
              </w:rPr>
              <w:t>Baixa</w:t>
            </w:r>
          </w:p>
        </w:tc>
        <w:tc>
          <w:tcPr>
            <w:tcW w:type="dxa" w:w="2280"/>
          </w:tcPr>
          <w:p>
            <w:r>
              <w:rPr>
                <w:sz w:val="18"/>
              </w:rPr>
              <w:t>Não observado</w:t>
            </w:r>
          </w:p>
        </w:tc>
      </w:tr>
      <w:tr>
        <w:tc>
          <w:tcPr>
            <w:tcW w:type="dxa" w:w="2280"/>
            <w:shd w:fill="F5F5F5"/>
          </w:tcPr>
          <w:p>
            <w:r>
              <w:rPr>
                <w:sz w:val="18"/>
              </w:rPr>
              <w:t>Setembro</w:t>
            </w:r>
          </w:p>
        </w:tc>
        <w:tc>
          <w:tcPr>
            <w:tcW w:type="dxa" w:w="2280"/>
            <w:shd w:fill="F5F5F5"/>
          </w:tcPr>
          <w:p>
            <w:r>
              <w:rPr>
                <w:sz w:val="18"/>
              </w:rPr>
              <w:t>Recuperação parcial</w:t>
            </w:r>
          </w:p>
        </w:tc>
        <w:tc>
          <w:tcPr>
            <w:tcW w:type="dxa" w:w="2280"/>
            <w:shd w:fill="F5F5F5"/>
          </w:tcPr>
          <w:p>
            <w:r>
              <w:rPr>
                <w:sz w:val="18"/>
              </w:rPr>
              <w:t>Moderada</w:t>
            </w:r>
          </w:p>
        </w:tc>
        <w:tc>
          <w:tcPr>
            <w:tcW w:type="dxa" w:w="2280"/>
            <w:shd w:fill="F5F5F5"/>
          </w:tcPr>
          <w:p>
            <w:r>
              <w:rPr>
                <w:sz w:val="18"/>
              </w:rPr>
              <w:t>Sim</w:t>
            </w:r>
          </w:p>
        </w:tc>
      </w:tr>
    </w:tbl>
    <w:p/>
    <w:p>
      <w:r>
        <w:t xml:space="preserve">Em suma, os gráficos apontam para um sistema com </w:t>
      </w:r>
      <w:r>
        <w:rPr>
          <w:b/>
        </w:rPr>
        <w:t>erro de medição</w:t>
      </w:r>
      <w:r>
        <w:t xml:space="preserve"> sob controle e dentro dos parâmetros técnicos, embora sujeito a variações operacionais significativas no volume transportado.</w:t>
      </w:r>
    </w:p>
    <w:p>
      <w:pPr>
        <w:pStyle w:val="Heading2"/>
      </w:pPr>
      <w:r>
        <w:t>Parecer Regulatório</w:t>
      </w:r>
    </w:p>
    <w:p>
      <w:r>
        <w:t xml:space="preserve">Com base na auditoria dos dados de medição referentes ao período de abril a setembro de 2025, esta fiscalização técnica conclui que as condições de operação do distrito de distribuição estão em conformidade com os padrões regulatórios vigentes, sendo classificadas como </w:t>
      </w:r>
      <w:r>
        <w:rPr>
          <w:b/>
        </w:rPr>
        <w:t>NORMAIS</w:t>
      </w:r>
      <w:r>
        <w:t>.</w:t>
      </w:r>
    </w:p>
    <w:p>
      <w:r>
        <w:t>A conformidade fundamenta-se nos seguintes pontos:</w:t>
      </w:r>
    </w:p>
    <w:p>
      <w:pPr>
        <w:pStyle w:val="ListNumber"/>
      </w:pPr>
      <w:r>
        <w:rPr>
          <w:b/>
        </w:rPr>
        <w:t>Exatidão Metrológica:</w:t>
      </w:r>
      <w:r>
        <w:t xml:space="preserve"> A diferença média apurada de </w:t>
      </w:r>
      <w:r>
        <w:rPr>
          <w:b/>
        </w:rPr>
        <w:t>-0,000009%</w:t>
      </w:r>
      <w:r>
        <w:t xml:space="preserve"> e a máxima de </w:t>
      </w:r>
      <w:r>
        <w:rPr>
          <w:b/>
        </w:rPr>
        <w:t>0,000083%</w:t>
      </w:r>
      <w:r>
        <w:t xml:space="preserve"> situam-se em níveis de excelência, muito abaixo do limite normativo de </w:t>
      </w:r>
      <w:r>
        <w:rPr>
          <w:b/>
        </w:rPr>
        <w:t>± 0,30%</w:t>
      </w:r>
      <w:r>
        <w:t xml:space="preserve"> para erros sistemáticos e do limite de </w:t>
      </w:r>
      <w:r>
        <w:rPr>
          <w:b/>
        </w:rPr>
        <w:t>2,00%</w:t>
      </w:r>
      <w:r>
        <w:t xml:space="preserve"> para o </w:t>
      </w:r>
      <w:r>
        <w:rPr>
          <w:i/>
        </w:rPr>
        <w:t>check metering</w:t>
      </w:r>
      <w:r>
        <w:t>.</w:t>
      </w:r>
    </w:p>
    <w:p>
      <w:pPr>
        <w:pStyle w:val="ListNumber"/>
      </w:pPr>
      <w:r>
        <w:rPr>
          <w:b/>
        </w:rPr>
        <w:t>Integridade do Cálculo de Volume:</w:t>
      </w:r>
      <w:r>
        <w:t xml:space="preserve"> A aplicação das equações de estado para o cálculo do fator de compressibilidade (</w:t>
      </w:r>
      <m:oMath>
        <m:r>
          <m:t>Z</m:t>
        </m:r>
      </m:oMath>
      <w:r>
        <w:t>) e a correção para as condições de referência (</w:t>
      </w:r>
      <m:oMath>
        <m:sSub>
          <m:e>
            <m:r>
              <m:t>P</m:t>
            </m:r>
          </m:e>
          <m:sub>
            <m:r>
              <m:t>b</m:t>
            </m:r>
          </m:sub>
        </m:sSub>
        <m:r>
          <m:t>=101,325</m:t>
        </m:r>
        <m:r>
          <m:rPr>
            <m:nor/>
          </m:rPr>
          <m:t> kPa</m:t>
        </m:r>
      </m:oMath>
      <w:r>
        <w:t xml:space="preserve"> e </w:t>
      </w:r>
      <m:oMath>
        <m:sSub>
          <m:e>
            <m:r>
              <m:t>T</m:t>
            </m:r>
          </m:e>
          <m:sub>
            <m:r>
              <m:t>b</m:t>
            </m:r>
          </m:sub>
        </m:sSub>
        <m:r>
          <m:t>=293,15</m:t>
        </m:r>
        <m:r>
          <m:rPr>
            <m:nor/>
          </m:rPr>
          <m:t> K</m:t>
        </m:r>
      </m:oMath>
      <w:r>
        <w:t xml:space="preserve">) demonstram consistência, não sendo detectados indícios de </w:t>
      </w:r>
      <w:r>
        <w:rPr>
          <w:b/>
        </w:rPr>
        <w:t>falha presumida</w:t>
      </w:r>
      <w:r>
        <w:t xml:space="preserve"> ou deriva (</w:t>
      </w:r>
      <w:r>
        <w:rPr>
          <w:i/>
        </w:rPr>
        <w:t>drift</w:t>
      </w:r>
      <w:r>
        <w:t>) nos transdutores.</w:t>
      </w:r>
    </w:p>
    <w:p>
      <w:pPr>
        <w:pStyle w:val="ListNumber"/>
      </w:pPr>
      <w:r>
        <w:rPr>
          <w:b/>
        </w:rPr>
        <w:t>Comportamento Operacional:</w:t>
      </w:r>
      <w:r>
        <w:t xml:space="preserve"> Embora o sistema apresente um desvio padrão de </w:t>
      </w:r>
      <w:r>
        <w:rPr>
          <w:b/>
        </w:rPr>
        <w:t>168.609,2 Nm³/d</w:t>
      </w:r>
      <w:r>
        <w:t xml:space="preserve">, refletindo variações sazonais de demanda, os instrumentos de medição mantiveram a linearidade e a repetibilidade dentro dos limites de </w:t>
      </w:r>
      <w:r>
        <w:rPr>
          <w:b/>
        </w:rPr>
        <w:t>incerteza expandida</w:t>
      </w:r>
      <w:r>
        <w:t xml:space="preserve"> requeridos de </w:t>
      </w:r>
      <w:r>
        <w:rPr>
          <w:b/>
        </w:rPr>
        <w:t>1,50%</w:t>
      </w:r>
      <w:r>
        <w:t>.</w:t>
      </w:r>
    </w:p>
    <w:p>
      <w:r>
        <w:rPr>
          <w:b/>
        </w:rPr>
        <w:t>Recomendações:</w:t>
      </w:r>
    </w:p>
    <w:p>
      <w:r>
        <w:t xml:space="preserve">Apesar da conformidade plena, recomenda-se que a concessionária realize uma investigação técnica específica sobre os eventos de queda severa de volume observados em agosto de 2025. O objetivo é assegurar que o regime de escoamento durante tais períodos não tenha operado abaixo do limite inferior do </w:t>
      </w:r>
      <w:r>
        <w:rPr>
          <w:i/>
        </w:rPr>
        <w:t>turndown ratio</w:t>
      </w:r>
      <w:r>
        <w:t xml:space="preserve"> do elemento primário, o que poderia comprometer a </w:t>
      </w:r>
      <w:r>
        <w:rPr>
          <w:b/>
        </w:rPr>
        <w:t>incerteza expandida</w:t>
      </w:r>
      <w:r>
        <w:t xml:space="preserve"> em cenários de vazão mínima extrema. Além disso, deve-se manter o monitoramento da tendência de viés negativo observada em setembro para mitigar eventuais derivas metrológicas futuras.</w:t>
      </w:r>
    </w:p>
    <w:p>
      <w:r>
        <w:br w:type="page"/>
      </w:r>
    </w:p>
    <w:p>
      <w:pPr>
        <w:pStyle w:val="Heading1"/>
      </w:pPr>
      <w:r>
        <w:t>3. Análise do Poder Calorífico Superior (PCS)</w:t>
      </w:r>
    </w:p>
    <w:p>
      <w:r>
        <w:t xml:space="preserve">Este capítulo dedica-se à análise técnica do </w:t>
      </w:r>
      <w:r>
        <w:rPr>
          <w:b/>
        </w:rPr>
        <w:t>Poder Calorífico Superior (PCS)</w:t>
      </w:r>
      <w:r>
        <w:t>, parâmetro fundamental para a conversão do volume escoado em energia efetivamente entregue aos consumidores do distrito de distribuição. A precisão na determinação do PCS é o pilar da integridade comercial do setor de gás natural, uma vez que pequenas variações neste índice impactam diretamente o faturamento energético e a eficiência dos processos industriais. Através da avaliação das frações molares obtidas via cromatografia gasosa e da aplicação de algoritmos de cálculo conforme normas internacionais, esta auditoria verifica se a energia faturada reflete a realidade termodinâmica do fluido.</w:t>
      </w:r>
    </w:p>
    <w:p>
      <w:r>
        <w:t xml:space="preserve">Os achados demonstram uma estabilidade operacional satisfatória, com média de </w:t>
      </w:r>
      <w:r>
        <w:rPr>
          <w:b/>
        </w:rPr>
        <w:t>9.538,92 kcal/m³</w:t>
      </w:r>
      <w:r>
        <w:t xml:space="preserve"> e uma correlação metrológica quase integral entre os dados da Concessionária e da Transportadora. Embora tenham sido identificadas oscilações composicionais típicas do sistema de transporte, a consistência dos cálculos de compressibilidade (</w:t>
      </w:r>
      <m:oMath>
        <m:r>
          <m:t>Z</m:t>
        </m:r>
      </m:oMath>
      <w:r>
        <w:t>) e a baixa incerteza expandida nos sistemas de medição garantem a confiabilidade do balanço energético. A análise estatística e temporal realizada entre abril e setembro de 2025 confirma que as flutuações de riqueza do gás foram adequadamente processadas pelos computadores de vazão, não resultando em prejuízos sistêmicos aos agentes ou usuários.</w:t>
      </w:r>
    </w:p>
    <w:p>
      <w:pPr>
        <w:spacing w:after="80"/>
      </w:pPr>
      <w:r>
        <w:rPr>
          <w:b/>
          <w:i/>
          <w:color w:val="1A237E"/>
          <w:sz w:val="20"/>
        </w:rPr>
        <w:t>Tabela 3.1: Estatísticas Descritivas do PCS</w:t>
      </w:r>
    </w:p>
    <w:tbl>
      <w:tblPr>
        <w:tblStyle w:val="TableGrid"/>
        <w:tblW w:type="auto" w:w="0"/>
        <w:jc w:val="center"/>
        <w:tblLook w:firstColumn="1" w:firstRow="1" w:lastColumn="0" w:lastRow="0" w:noHBand="0" w:noVBand="1" w:val="04A0"/>
      </w:tblPr>
      <w:tblGrid>
        <w:gridCol w:w="3041"/>
        <w:gridCol w:w="3041"/>
        <w:gridCol w:w="3041"/>
      </w:tblGrid>
      <w:tr>
        <w:tc>
          <w:tcPr>
            <w:tcW w:type="dxa" w:w="3041"/>
            <w:shd w:fill="1A237E"/>
          </w:tcPr>
          <w:p>
            <w:pPr>
              <w:jc w:val="center"/>
            </w:pPr>
            <w:r>
              <w:rPr>
                <w:b/>
                <w:color w:val="FFFFFF"/>
                <w:sz w:val="18"/>
              </w:rPr>
              <w:t>Métrica</w:t>
            </w:r>
          </w:p>
        </w:tc>
        <w:tc>
          <w:tcPr>
            <w:tcW w:type="dxa" w:w="3041"/>
            <w:shd w:fill="1A237E"/>
          </w:tcPr>
          <w:p>
            <w:pPr>
              <w:jc w:val="center"/>
            </w:pPr>
            <w:r>
              <w:rPr>
                <w:b/>
                <w:color w:val="FFFFFF"/>
                <w:sz w:val="18"/>
              </w:rPr>
              <w:t>Valor (kcal/m³)</w:t>
            </w:r>
          </w:p>
        </w:tc>
        <w:tc>
          <w:tcPr>
            <w:tcW w:type="dxa" w:w="3041"/>
            <w:shd w:fill="1A237E"/>
          </w:tcPr>
          <w:p>
            <w:pPr>
              <w:jc w:val="center"/>
            </w:pPr>
            <w:r>
              <w:rPr>
                <w:b/>
                <w:color w:val="FFFFFF"/>
                <w:sz w:val="18"/>
              </w:rPr>
              <w:t>Observação</w:t>
            </w:r>
          </w:p>
        </w:tc>
      </w:tr>
      <w:tr>
        <w:tc>
          <w:tcPr>
            <w:tcW w:type="dxa" w:w="3041"/>
            <w:shd w:fill="F5F5F5"/>
          </w:tcPr>
          <w:p>
            <w:r>
              <w:rPr>
                <w:sz w:val="18"/>
              </w:rPr>
              <w:t>PCS Médio</w:t>
            </w:r>
          </w:p>
        </w:tc>
        <w:tc>
          <w:tcPr>
            <w:tcW w:type="dxa" w:w="3041"/>
            <w:shd w:fill="F5F5F5"/>
          </w:tcPr>
          <w:p>
            <w:r>
              <w:rPr>
                <w:sz w:val="18"/>
              </w:rPr>
              <w:t>9,538.92</w:t>
            </w:r>
          </w:p>
        </w:tc>
        <w:tc>
          <w:tcPr>
            <w:tcW w:type="dxa" w:w="3041"/>
            <w:shd w:fill="F5F5F5"/>
          </w:tcPr>
          <w:p>
            <w:r>
              <w:rPr>
                <w:sz w:val="18"/>
              </w:rPr>
            </w:r>
          </w:p>
        </w:tc>
      </w:tr>
      <w:tr>
        <w:tc>
          <w:tcPr>
            <w:tcW w:type="dxa" w:w="3041"/>
          </w:tcPr>
          <w:p>
            <w:r>
              <w:rPr>
                <w:sz w:val="18"/>
              </w:rPr>
              <w:t>PCS Mínimo</w:t>
            </w:r>
          </w:p>
        </w:tc>
        <w:tc>
          <w:tcPr>
            <w:tcW w:type="dxa" w:w="3041"/>
          </w:tcPr>
          <w:p>
            <w:r>
              <w:rPr>
                <w:sz w:val="18"/>
              </w:rPr>
              <w:t>9,167.85</w:t>
            </w:r>
          </w:p>
        </w:tc>
        <w:tc>
          <w:tcPr>
            <w:tcW w:type="dxa" w:w="3041"/>
          </w:tcPr>
          <w:p>
            <w:r>
              <w:rPr>
                <w:sz w:val="18"/>
              </w:rPr>
            </w:r>
          </w:p>
        </w:tc>
      </w:tr>
      <w:tr>
        <w:tc>
          <w:tcPr>
            <w:tcW w:type="dxa" w:w="3041"/>
            <w:shd w:fill="F5F5F5"/>
          </w:tcPr>
          <w:p>
            <w:r>
              <w:rPr>
                <w:sz w:val="18"/>
              </w:rPr>
              <w:t>PCS Máximo</w:t>
            </w:r>
          </w:p>
        </w:tc>
        <w:tc>
          <w:tcPr>
            <w:tcW w:type="dxa" w:w="3041"/>
            <w:shd w:fill="F5F5F5"/>
          </w:tcPr>
          <w:p>
            <w:r>
              <w:rPr>
                <w:sz w:val="18"/>
              </w:rPr>
              <w:t>9,785.96</w:t>
            </w:r>
          </w:p>
        </w:tc>
        <w:tc>
          <w:tcPr>
            <w:tcW w:type="dxa" w:w="3041"/>
            <w:shd w:fill="F5F5F5"/>
          </w:tcPr>
          <w:p>
            <w:r>
              <w:rPr>
                <w:sz w:val="18"/>
              </w:rPr>
            </w:r>
          </w:p>
        </w:tc>
      </w:tr>
      <w:tr>
        <w:tc>
          <w:tcPr>
            <w:tcW w:type="dxa" w:w="3041"/>
          </w:tcPr>
          <w:p>
            <w:r>
              <w:rPr>
                <w:sz w:val="18"/>
              </w:rPr>
              <w:t>Desvio Padrão</w:t>
            </w:r>
          </w:p>
        </w:tc>
        <w:tc>
          <w:tcPr>
            <w:tcW w:type="dxa" w:w="3041"/>
          </w:tcPr>
          <w:p>
            <w:r>
              <w:rPr>
                <w:sz w:val="18"/>
              </w:rPr>
              <w:t>104.34</w:t>
            </w:r>
          </w:p>
        </w:tc>
        <w:tc>
          <w:tcPr>
            <w:tcW w:type="dxa" w:w="3041"/>
          </w:tcPr>
          <w:p>
            <w:r>
              <w:rPr>
                <w:sz w:val="18"/>
              </w:rPr>
            </w:r>
          </w:p>
        </w:tc>
      </w:tr>
      <w:tr>
        <w:tc>
          <w:tcPr>
            <w:tcW w:type="dxa" w:w="3041"/>
            <w:shd w:fill="F5F5F5"/>
          </w:tcPr>
          <w:p>
            <w:r>
              <w:rPr>
                <w:sz w:val="18"/>
              </w:rPr>
              <w:t>Amplitude</w:t>
            </w:r>
          </w:p>
        </w:tc>
        <w:tc>
          <w:tcPr>
            <w:tcW w:type="dxa" w:w="3041"/>
            <w:shd w:fill="F5F5F5"/>
          </w:tcPr>
          <w:p>
            <w:r>
              <w:rPr>
                <w:sz w:val="18"/>
              </w:rPr>
              <w:t>618.11</w:t>
            </w:r>
          </w:p>
        </w:tc>
        <w:tc>
          <w:tcPr>
            <w:tcW w:type="dxa" w:w="3041"/>
            <w:shd w:fill="F5F5F5"/>
          </w:tcPr>
          <w:p>
            <w:r>
              <w:rPr>
                <w:sz w:val="18"/>
              </w:rPr>
            </w:r>
          </w:p>
        </w:tc>
      </w:tr>
      <w:tr>
        <w:tc>
          <w:tcPr>
            <w:tcW w:type="dxa" w:w="3041"/>
          </w:tcPr>
          <w:p>
            <w:r>
              <w:rPr>
                <w:sz w:val="18"/>
              </w:rPr>
              <w:t>Dif. Média Conc. vs Transp.</w:t>
            </w:r>
          </w:p>
        </w:tc>
        <w:tc>
          <w:tcPr>
            <w:tcW w:type="dxa" w:w="3041"/>
          </w:tcPr>
          <w:p>
            <w:r>
              <w:rPr>
                <w:sz w:val="18"/>
              </w:rPr>
              <w:t>0.000046%</w:t>
            </w:r>
          </w:p>
        </w:tc>
        <w:tc>
          <w:tcPr>
            <w:tcW w:type="dxa" w:w="3041"/>
          </w:tcPr>
          <w:p>
            <w:r>
              <w:rPr>
                <w:sz w:val="18"/>
              </w:rPr>
            </w:r>
          </w:p>
        </w:tc>
      </w:tr>
    </w:tbl>
    <w:p/>
    <w:p>
      <w:pPr>
        <w:pStyle w:val="Heading2"/>
      </w:pPr>
      <w:r>
        <w:t>Fundamentação Teórica</w:t>
      </w:r>
    </w:p>
    <w:p>
      <w:r>
        <w:t xml:space="preserve">A medição da energia transferida em um sistema de distribuição de gás natural é uma função multivariável que depende tanto do volume escoado quanto das propriedades termodinâmicas e físico-químicas do fluido. O parâmetro central para a conversão de volume em energia é o </w:t>
      </w:r>
      <w:r>
        <w:rPr>
          <w:b/>
        </w:rPr>
        <w:t>Poder Calorífico Superior (PCS)</w:t>
      </w:r>
      <w:r>
        <w:t>, cuja determinação precisa é essencial para a conformidade regulatória e a integridade comercial das transações de custódia.</w:t>
      </w:r>
    </w:p>
    <w:p>
      <w:pPr>
        <w:pStyle w:val="Heading4"/>
      </w:pPr>
      <w:r>
        <w:t>3.1.1. Conceitos de Poder Calorífico e Condições de Referência</w:t>
      </w:r>
    </w:p>
    <w:p>
      <w:r>
        <w:t xml:space="preserve">O </w:t>
      </w:r>
      <w:r>
        <w:rPr>
          <w:b/>
        </w:rPr>
        <w:t>Poder Calorífico Superior (PCS)</w:t>
      </w:r>
      <w:r>
        <w:t xml:space="preserve"> define a quantidade de calor liberada pela combustão completa de uma unidade de volume de gás seco, em condições especificadas de temperatura e pressão, quando os produtos da combustão são resfriados até a temperatura inicial dos reagentes e a água formada é condensada ao estado líquido.</w:t>
      </w:r>
    </w:p>
    <w:p>
      <w:r>
        <w:t xml:space="preserve">Diferentemente do Poder Calorífico Inferior (PCI), o PCS contabiliza o calor latente de vaporização da água, sendo este o parâmetro adotado pela regulação nacional para o faturamento de energia. Para assegurar a comparabilidade dos dados, os valores de PCS devem ser referenciados às condições padrão de medição (geralmente </w:t>
      </w:r>
      <m:oMath>
        <m:r>
          <m:t>293,15</m:t>
        </m:r>
      </m:oMath>
      <w:r>
        <w:t xml:space="preserve"> K e </w:t>
      </w:r>
      <m:oMath>
        <m:r>
          <m:t>101,325</m:t>
        </m:r>
      </m:oMath>
      <w:r>
        <w:t xml:space="preserve"> kPa).</w:t>
      </w:r>
    </w:p>
    <w:p>
      <w:pPr>
        <w:pStyle w:val="Heading4"/>
      </w:pPr>
      <w:r>
        <w:t>3.1.2. Cromatografia Gasosa e Determinação da Composição</w:t>
      </w:r>
    </w:p>
    <w:p>
      <w:r>
        <w:t xml:space="preserve">A determinação do PCS em distritos de distribuição ocorre de forma indireta, por meio da análise da composição molar do gás via </w:t>
      </w:r>
      <w:r>
        <w:rPr>
          <w:b/>
        </w:rPr>
        <w:t>cromatografia gasosa</w:t>
      </w:r>
      <w:r>
        <w:t>. O cromatógrafo em linha segmenta a mistura gasosa em seus componentes individuais, permitindo a quantificação da fração molar (</w:t>
      </w:r>
      <m:oMath>
        <m:sSub>
          <m:e>
            <m:r>
              <m:t>x</m:t>
            </m:r>
          </m:e>
          <m:sub>
            <m:r>
              <m:t>i</m:t>
            </m:r>
          </m:sub>
        </m:sSub>
      </m:oMath>
      <w:r>
        <w:t>) de hidrocarbonetos (do Metano ao Hexano e superiores) e de gases inertes (</w:t>
      </w:r>
      <m:oMath>
        <m:sSub>
          <m:e>
            <m:r>
              <m:t>N</m:t>
            </m:r>
          </m:e>
          <m:sub>
            <m:r>
              <m:t>2</m:t>
            </m:r>
          </m:sub>
        </m:sSub>
      </m:oMath>
      <w:r>
        <w:t xml:space="preserve"> e </w:t>
      </w:r>
      <m:oMath>
        <m:r>
          <m:t>C</m:t>
        </m:r>
        <m:sSub>
          <m:e>
            <m:r>
              <m:t>O</m:t>
            </m:r>
          </m:e>
          <m:sub>
            <m:r>
              <m:t>2</m:t>
            </m:r>
          </m:sub>
        </m:sSub>
      </m:oMath>
      <w:r>
        <w:t>).</w:t>
      </w:r>
    </w:p>
    <w:p>
      <w:r>
        <w:t>O cálculo do PCS da mistura é realizado de acordo com o somatório ponderado das entalpias de combustão de cada componente, conforme a equação:</w:t>
      </w:r>
    </w:p>
    <w:p>
      <w:pPr>
        <w:jc w:val="center"/>
      </w:pPr>
      <m:oMath>
        <m:r>
          <m:t>PCS=</m:t>
        </m:r>
        <m:f>
          <m:fPr>
            <m:type m:val="bar"/>
          </m:fPr>
          <m:num>
            <m:r>
              <m:t>1</m:t>
            </m:r>
          </m:num>
          <m:den>
            <m:sSub>
              <m:e>
                <m:r>
                  <m:t>V</m:t>
                </m:r>
              </m:e>
              <m:sub>
                <m:r>
                  <m:t>ideal</m:t>
                </m:r>
              </m:sub>
            </m:sSub>
          </m:den>
        </m:f>
        <m:nary>
          <m:naryPr>
            <m:chr m:val="∑"/>
            <m:limLoc m:val="subSup"/>
            <m:grow m:val="1"/>
            <m:subHide m:val="off"/>
            <m:supHide m:val="off"/>
          </m:naryPr>
          <m:sub>
            <m:r>
              <m:t>i=1</m:t>
            </m:r>
          </m:sub>
          <m:sup>
            <m:r>
              <m:t>n</m:t>
            </m:r>
          </m:sup>
          <m:e>
            <m:r>
              <m:t>(</m:t>
            </m:r>
          </m:e>
        </m:nary>
        <m:sSub>
          <m:e>
            <m:r>
              <m:t>x</m:t>
            </m:r>
          </m:e>
          <m:sub>
            <m:r>
              <m:t>i</m:t>
            </m:r>
          </m:sub>
        </m:sSub>
        <m:r>
          <m:t>·</m:t>
        </m:r>
        <m:sSubSup>
          <m:e>
            <m:r>
              <m:t>H</m:t>
            </m:r>
          </m:e>
          <m:sub>
            <m:r>
              <m:t>i</m:t>
            </m:r>
          </m:sub>
          <m:sup>
            <m:r>
              <m:t>0</m:t>
            </m:r>
          </m:sup>
        </m:sSubSup>
        <m:r>
          <m:t>)</m:t>
        </m:r>
      </m:oMath>
    </w:p>
    <w:p>
      <w:r>
        <w:t>Onde:</w:t>
      </w:r>
    </w:p>
    <w:p>
      <w:pPr>
        <w:pStyle w:val="ListBullet"/>
      </w:pPr>
      <w:r>
        <w:t xml:space="preserve">  </w:t>
      </w:r>
      <m:oMath>
        <m:r>
          <m:t>PCS</m:t>
        </m:r>
      </m:oMath>
      <w:r>
        <w:t xml:space="preserve">: Poder Calorífico Superior da mistura em </w:t>
      </w:r>
      <m:oMath>
        <m:r>
          <m:t>kcal/</m:t>
        </m:r>
        <m:sSup>
          <m:e>
            <m:r>
              <m:t>m</m:t>
            </m:r>
          </m:e>
          <m:sup>
            <m:r>
              <m:t>3</m:t>
            </m:r>
          </m:sup>
        </m:sSup>
      </m:oMath>
      <w:r>
        <w:t xml:space="preserve"> ou </w:t>
      </w:r>
      <m:oMath>
        <m:r>
          <m:t>kJ/</m:t>
        </m:r>
        <m:sSup>
          <m:e>
            <m:r>
              <m:t>m</m:t>
            </m:r>
          </m:e>
          <m:sup>
            <m:r>
              <m:t>3</m:t>
            </m:r>
          </m:sup>
        </m:sSup>
      </m:oMath>
      <w:r>
        <w:t>;</w:t>
      </w:r>
    </w:p>
    <w:p>
      <w:pPr>
        <w:pStyle w:val="ListBullet"/>
      </w:pPr>
      <w:r>
        <w:t xml:space="preserve">  </w:t>
      </w:r>
      <m:oMath>
        <m:sSub>
          <m:e>
            <m:r>
              <m:t>x</m:t>
            </m:r>
          </m:e>
          <m:sub>
            <m:r>
              <m:t>i</m:t>
            </m:r>
          </m:sub>
        </m:sSub>
      </m:oMath>
      <w:r>
        <w:t xml:space="preserve">: Fração molar do componente </w:t>
      </w:r>
      <m:oMath>
        <m:r>
          <m:t>i</m:t>
        </m:r>
      </m:oMath>
      <w:r>
        <w:t>;</w:t>
      </w:r>
    </w:p>
    <w:p>
      <w:pPr>
        <w:pStyle w:val="ListBullet"/>
      </w:pPr>
      <w:r>
        <w:t xml:space="preserve">  </w:t>
      </w:r>
      <m:oMath>
        <m:sSubSup>
          <m:e>
            <m:r>
              <m:t>H</m:t>
            </m:r>
          </m:e>
          <m:sub>
            <m:r>
              <m:t>i</m:t>
            </m:r>
          </m:sub>
          <m:sup>
            <m:r>
              <m:t>0</m:t>
            </m:r>
          </m:sup>
        </m:sSubSup>
      </m:oMath>
      <w:r>
        <w:t xml:space="preserve">: Poder calorífico molar superior do componente puro </w:t>
      </w:r>
      <m:oMath>
        <m:r>
          <m:t>i</m:t>
        </m:r>
      </m:oMath>
      <w:r>
        <w:t>;</w:t>
      </w:r>
    </w:p>
    <w:p>
      <w:pPr>
        <w:pStyle w:val="ListBullet"/>
      </w:pPr>
      <w:r>
        <w:t xml:space="preserve">  </w:t>
      </w:r>
      <m:oMath>
        <m:sSub>
          <m:e>
            <m:r>
              <m:t>V</m:t>
            </m:r>
          </m:e>
          <m:sub>
            <m:r>
              <m:t>ideal</m:t>
            </m:r>
          </m:sub>
        </m:sSub>
      </m:oMath>
      <w:r>
        <w:t>: Volume molar do gás nas condições de referência.</w:t>
      </w:r>
    </w:p>
    <w:p>
      <w:r>
        <w:t>Para gases reais, aplica-se o fator de compressibilidade (</w:t>
      </w:r>
      <m:oMath>
        <m:r>
          <m:t>Z</m:t>
        </m:r>
      </m:oMath>
      <w:r>
        <w:t>) para corrigir o desvio de idealidade, resultando no valor de PCS real:</w:t>
      </w:r>
    </w:p>
    <w:p>
      <w:pPr>
        <w:jc w:val="center"/>
      </w:pPr>
      <m:oMath>
        <m:r>
          <m:t>PC</m:t>
        </m:r>
        <m:sSub>
          <m:e>
            <m:r>
              <m:t>S</m:t>
            </m:r>
          </m:e>
          <m:sub>
            <m:r>
              <m:t>real</m:t>
            </m:r>
          </m:sub>
        </m:sSub>
        <m:r>
          <m:t>=</m:t>
        </m:r>
        <m:f>
          <m:fPr>
            <m:type m:val="bar"/>
          </m:fPr>
          <m:num>
            <m:r>
              <m:t>PC</m:t>
            </m:r>
            <m:sSub>
              <m:e>
                <m:r>
                  <m:t>S</m:t>
                </m:r>
              </m:e>
              <m:sub>
                <m:r>
                  <m:t>ideal</m:t>
                </m:r>
              </m:sub>
            </m:sSub>
          </m:num>
          <m:den>
            <m:r>
              <m:t>Z(P,T)</m:t>
            </m:r>
          </m:den>
        </m:f>
      </m:oMath>
    </w:p>
    <w:p>
      <w:pPr>
        <w:pStyle w:val="Heading4"/>
      </w:pPr>
      <w:r>
        <w:t>3.1.3. Especificações e Variabilidade do Gás Natural</w:t>
      </w:r>
    </w:p>
    <w:p>
      <w:r>
        <w:t>O gás natural distribuído no mercado brasileiro deve observar limites físico-químicos estritos para garantir a segurança operacional e a eficiência dos equipamentos dos consumidores finais. As faixas típicas de PCS e densidade relativa variam conforme a procedência (nacional, importado ou GNL regaseificado).</w:t>
      </w:r>
    </w:p>
    <w:tbl>
      <w:tblPr>
        <w:tblStyle w:val="TableGrid"/>
        <w:tblW w:type="auto" w:w="0"/>
        <w:jc w:val="center"/>
        <w:tblLook w:firstColumn="1" w:firstRow="1" w:lastColumn="0" w:lastRow="0" w:noHBand="0" w:noVBand="1" w:val="04A0"/>
      </w:tblPr>
      <w:tblGrid>
        <w:gridCol w:w="3041"/>
        <w:gridCol w:w="3041"/>
        <w:gridCol w:w="3041"/>
      </w:tblGrid>
      <w:tr>
        <w:tc>
          <w:tcPr>
            <w:tcW w:type="dxa" w:w="3041"/>
            <w:shd w:fill="1A237E"/>
          </w:tcPr>
          <w:p>
            <w:pPr>
              <w:jc w:val="center"/>
            </w:pPr>
            <w:r>
              <w:rPr>
                <w:b/>
                <w:color w:val="FFFFFF"/>
                <w:sz w:val="18"/>
              </w:rPr>
              <w:t>Parâmetro</w:t>
            </w:r>
          </w:p>
        </w:tc>
        <w:tc>
          <w:tcPr>
            <w:tcW w:type="dxa" w:w="3041"/>
            <w:shd w:fill="1A237E"/>
          </w:tcPr>
          <w:p>
            <w:pPr>
              <w:jc w:val="center"/>
            </w:pPr>
            <w:r>
              <w:rPr>
                <w:b/>
                <w:color w:val="FFFFFF"/>
                <w:sz w:val="18"/>
              </w:rPr>
              <w:t>Faixa Típica (Referência Nacional)</w:t>
            </w:r>
          </w:p>
        </w:tc>
        <w:tc>
          <w:tcPr>
            <w:tcW w:type="dxa" w:w="3041"/>
            <w:shd w:fill="1A237E"/>
          </w:tcPr>
          <w:p>
            <w:pPr>
              <w:jc w:val="center"/>
            </w:pPr>
            <w:r>
              <w:rPr>
                <w:b/>
                <w:color w:val="FFFFFF"/>
                <w:sz w:val="18"/>
              </w:rPr>
              <w:t>Unidade</w:t>
            </w:r>
          </w:p>
        </w:tc>
      </w:tr>
      <w:tr>
        <w:tc>
          <w:tcPr>
            <w:tcW w:type="dxa" w:w="3041"/>
            <w:shd w:fill="F5F5F5"/>
          </w:tcPr>
          <w:p>
            <w:r>
              <w:rPr>
                <w:sz w:val="18"/>
              </w:rPr>
              <w:t>Poder Calorífico Superior</w:t>
            </w:r>
          </w:p>
        </w:tc>
        <w:tc>
          <w:tcPr>
            <w:tcW w:type="dxa" w:w="3041"/>
            <w:shd w:fill="F5F5F5"/>
          </w:tcPr>
          <w:p>
            <w:r>
              <w:rPr>
                <w:sz w:val="18"/>
              </w:rPr>
              <w:t>$8.600$ a $10.200$</w:t>
            </w:r>
          </w:p>
        </w:tc>
        <w:tc>
          <w:tcPr>
            <w:tcW w:type="dxa" w:w="3041"/>
            <w:shd w:fill="F5F5F5"/>
          </w:tcPr>
          <w:p>
            <w:r>
              <w:rPr>
                <w:sz w:val="18"/>
              </w:rPr>
              <w:t>$kcal/m^3$</w:t>
            </w:r>
          </w:p>
        </w:tc>
      </w:tr>
      <w:tr>
        <w:tc>
          <w:tcPr>
            <w:tcW w:type="dxa" w:w="3041"/>
          </w:tcPr>
          <w:p>
            <w:r>
              <w:rPr>
                <w:sz w:val="18"/>
              </w:rPr>
              <w:t>Metano ($CH_4$)</w:t>
            </w:r>
          </w:p>
        </w:tc>
        <w:tc>
          <w:tcPr>
            <w:tcW w:type="dxa" w:w="3041"/>
          </w:tcPr>
          <w:p>
            <w:r>
              <w:rPr>
                <w:sz w:val="18"/>
              </w:rPr>
              <w:t>Mínimo $85,0$</w:t>
            </w:r>
          </w:p>
        </w:tc>
        <w:tc>
          <w:tcPr>
            <w:tcW w:type="dxa" w:w="3041"/>
          </w:tcPr>
          <w:p>
            <w:r>
              <w:rPr>
                <w:sz w:val="18"/>
              </w:rPr>
              <w:t>% molar</w:t>
            </w:r>
          </w:p>
        </w:tc>
      </w:tr>
      <w:tr>
        <w:tc>
          <w:tcPr>
            <w:tcW w:type="dxa" w:w="3041"/>
            <w:shd w:fill="F5F5F5"/>
          </w:tcPr>
          <w:p>
            <w:r>
              <w:rPr>
                <w:sz w:val="18"/>
              </w:rPr>
              <w:t>Etano ($C_2H_6$)</w:t>
            </w:r>
          </w:p>
        </w:tc>
        <w:tc>
          <w:tcPr>
            <w:tcW w:type="dxa" w:w="3041"/>
            <w:shd w:fill="F5F5F5"/>
          </w:tcPr>
          <w:p>
            <w:r>
              <w:rPr>
                <w:sz w:val="18"/>
              </w:rPr>
              <w:t>Máximo $12,0$</w:t>
            </w:r>
          </w:p>
        </w:tc>
        <w:tc>
          <w:tcPr>
            <w:tcW w:type="dxa" w:w="3041"/>
            <w:shd w:fill="F5F5F5"/>
          </w:tcPr>
          <w:p>
            <w:r>
              <w:rPr>
                <w:sz w:val="18"/>
              </w:rPr>
              <w:t>% molar</w:t>
            </w:r>
          </w:p>
        </w:tc>
      </w:tr>
      <w:tr>
        <w:tc>
          <w:tcPr>
            <w:tcW w:type="dxa" w:w="3041"/>
          </w:tcPr>
          <w:p>
            <w:r>
              <w:rPr>
                <w:sz w:val="18"/>
              </w:rPr>
              <w:t>Inertes ($N_2 + CO_2$)</w:t>
            </w:r>
          </w:p>
        </w:tc>
        <w:tc>
          <w:tcPr>
            <w:tcW w:type="dxa" w:w="3041"/>
          </w:tcPr>
          <w:p>
            <w:r>
              <w:rPr>
                <w:sz w:val="18"/>
              </w:rPr>
              <w:t>Máximo $6,0$</w:t>
            </w:r>
          </w:p>
        </w:tc>
        <w:tc>
          <w:tcPr>
            <w:tcW w:type="dxa" w:w="3041"/>
          </w:tcPr>
          <w:p>
            <w:r>
              <w:rPr>
                <w:sz w:val="18"/>
              </w:rPr>
              <w:t>% molar</w:t>
            </w:r>
          </w:p>
        </w:tc>
      </w:tr>
      <w:tr>
        <w:tc>
          <w:tcPr>
            <w:tcW w:type="dxa" w:w="3041"/>
            <w:shd w:fill="F5F5F5"/>
          </w:tcPr>
          <w:p>
            <w:r>
              <w:rPr>
                <w:sz w:val="18"/>
              </w:rPr>
              <w:t>Oxigênio ($O_2$)</w:t>
            </w:r>
          </w:p>
        </w:tc>
        <w:tc>
          <w:tcPr>
            <w:tcW w:type="dxa" w:w="3041"/>
            <w:shd w:fill="F5F5F5"/>
          </w:tcPr>
          <w:p>
            <w:r>
              <w:rPr>
                <w:sz w:val="18"/>
              </w:rPr>
              <w:t>Máximo $0,8$</w:t>
            </w:r>
          </w:p>
        </w:tc>
        <w:tc>
          <w:tcPr>
            <w:tcW w:type="dxa" w:w="3041"/>
            <w:shd w:fill="F5F5F5"/>
          </w:tcPr>
          <w:p>
            <w:r>
              <w:rPr>
                <w:sz w:val="18"/>
              </w:rPr>
              <w:t>% molar</w:t>
            </w:r>
          </w:p>
        </w:tc>
      </w:tr>
    </w:tbl>
    <w:p/>
    <w:p>
      <w:r>
        <w:t xml:space="preserve">A presença de componentes inertes, como o </w:t>
      </w:r>
      <w:r>
        <w:rPr>
          <w:b/>
        </w:rPr>
        <w:t>Dióxido de Carbono</w:t>
      </w:r>
      <w:r>
        <w:t xml:space="preserve"> e o </w:t>
      </w:r>
      <w:r>
        <w:rPr>
          <w:b/>
        </w:rPr>
        <w:t>Nitrogênio</w:t>
      </w:r>
      <w:r>
        <w:t>, reduz o PCS da mistura, impactando diretamente o faturamento energético, uma vez que o consumidor paga pela energia contida no gás e não pelo seu volume físico bruto.</w:t>
      </w:r>
    </w:p>
    <w:p>
      <w:pPr>
        <w:pStyle w:val="Heading4"/>
      </w:pPr>
      <w:r>
        <w:t>3.1.4. Incerteza de Medição e Rastreabilidade Metrológica</w:t>
      </w:r>
    </w:p>
    <w:p>
      <w:r>
        <w:t xml:space="preserve">A confiabilidade dos dados de PCS está condicionada à incerteza expandida do sistema de medição. Conforme os requisitos metrológicos vigentes, os cromatógrafos devem ser calibrados periodicamente utilizando </w:t>
      </w:r>
      <w:r>
        <w:rPr>
          <w:b/>
        </w:rPr>
        <w:t>Material de Referência Certificado (MRC)</w:t>
      </w:r>
      <w:r>
        <w:t>, garantindo a rastreabilidade aos padrões primários.</w:t>
      </w:r>
    </w:p>
    <w:p>
      <w:r>
        <w:t xml:space="preserve">A incerteza da determinação do PCS é calculada pela combinação das incertezas das frações molares e das incertezas inerentes aos dados de entalpia de combustão, utilizando o método de </w:t>
      </w:r>
      <w:r>
        <w:rPr>
          <w:b/>
        </w:rPr>
        <w:t>Raiz Quadrada da Soma dos Quadrados (RSS)</w:t>
      </w:r>
      <w:r>
        <w:t xml:space="preserve">, conforme as diretrizes do </w:t>
      </w:r>
      <w:r>
        <w:rPr>
          <w:b/>
        </w:rPr>
        <w:t>Guia para a Expressão da Incerteza de Medição (GUM)</w:t>
      </w:r>
      <w:r>
        <w:t>:</w:t>
      </w:r>
    </w:p>
    <w:p>
      <w:pPr>
        <w:jc w:val="center"/>
      </w:pPr>
      <m:oMath>
        <m:sSub>
          <m:e>
            <m:r>
              <m:t>u</m:t>
            </m:r>
          </m:e>
          <m:sub>
            <m:r>
              <m:t>c</m:t>
            </m:r>
          </m:sub>
        </m:sSub>
        <m:r>
          <m:t>(PCS)=</m:t>
        </m:r>
        <m:rad>
          <m:radPr>
            <m:degHide m:val="on"/>
          </m:radPr>
          <m:deg/>
          <m:e>
            <m:nary>
              <m:naryPr>
                <m:chr m:val="∑"/>
                <m:limLoc m:val="subSup"/>
                <m:grow m:val="1"/>
                <m:subHide m:val="off"/>
                <m:supHide m:val="off"/>
              </m:naryPr>
              <m:sub>
                <m:r>
                  <m:t>i=1</m:t>
                </m:r>
              </m:sub>
              <m:sup>
                <m:r>
                  <m:t>n</m:t>
                </m:r>
              </m:sup>
              <m:e>
                <m:sSup>
                  <m:e>
                    <m:d>
                      <m:dPr>
                        <m:sepChr m:val=""/>
                      </m:dPr>
                      <m:e>
                        <m:f>
                          <m:fPr>
                            <m:type m:val="bar"/>
                          </m:fPr>
                          <m:num>
                            <m:r>
                              <m:t>∂PCS</m:t>
                            </m:r>
                          </m:num>
                          <m:den>
                            <m:r>
                              <m:t>∂</m:t>
                            </m:r>
                            <m:sSub>
                              <m:e>
                                <m:r>
                                  <m:t>x</m:t>
                                </m:r>
                              </m:e>
                              <m:sub>
                                <m:r>
                                  <m:t>i</m:t>
                                </m:r>
                              </m:sub>
                            </m:sSub>
                          </m:den>
                        </m:f>
                      </m:e>
                    </m:d>
                  </m:e>
                  <m:sup>
                    <m:r>
                      <m:t>2</m:t>
                    </m:r>
                  </m:sup>
                </m:sSup>
              </m:e>
            </m:nary>
            <m:sSup>
              <m:e>
                <m:r>
                  <m:t>u</m:t>
                </m:r>
              </m:e>
              <m:sup>
                <m:r>
                  <m:t>2</m:t>
                </m:r>
              </m:sup>
            </m:sSup>
            <m:r>
              <m:t>(</m:t>
            </m:r>
            <m:sSub>
              <m:e>
                <m:r>
                  <m:t>x</m:t>
                </m:r>
              </m:e>
              <m:sub>
                <m:r>
                  <m:t>i</m:t>
                </m:r>
              </m:sub>
            </m:sSub>
            <m:r>
              <m:t>)</m:t>
            </m:r>
          </m:e>
        </m:rad>
      </m:oMath>
    </w:p>
    <w:p>
      <w:r>
        <w:t xml:space="preserve">Onde </w:t>
      </w:r>
      <m:oMath>
        <m:sSub>
          <m:e>
            <m:r>
              <m:t>u</m:t>
            </m:r>
          </m:e>
          <m:sub>
            <m:r>
              <m:t>c</m:t>
            </m:r>
          </m:sub>
        </m:sSub>
        <m:r>
          <m:t>(PCS)</m:t>
        </m:r>
      </m:oMath>
      <w:r>
        <w:t xml:space="preserve"> representa a incerteza combinada, que, ao ser multiplicada pelo fator de abrangência </w:t>
      </w:r>
      <m:oMath>
        <m:r>
          <m:t>k</m:t>
        </m:r>
      </m:oMath>
      <w:r>
        <w:t xml:space="preserve"> (tipicamente </w:t>
      </w:r>
      <m:oMath>
        <m:r>
          <m:t>k=2</m:t>
        </m:r>
      </m:oMath>
      <w:r>
        <w:t xml:space="preserve"> para um nível de confiança de </w:t>
      </w:r>
      <m:oMath>
        <m:r>
          <m:t>95,45%</m:t>
        </m:r>
      </m:oMath>
      <w:r>
        <w:t xml:space="preserve">), resulta na </w:t>
      </w:r>
      <w:r>
        <w:rPr>
          <w:b/>
        </w:rPr>
        <w:t>incerteza expandida</w:t>
      </w:r>
      <w:r>
        <w:t>. Para medições fiscais de alta relevância, a incerteza máxima permitida para o PCS é rigorosamente controlada para evitar prejuízos financeiros entre os agentes da cadeia de distribuição.</w:t>
      </w:r>
    </w:p>
    <w:p>
      <w:pPr>
        <w:pStyle w:val="Heading2"/>
      </w:pPr>
      <w:r>
        <w:t>Análise dos Dados</w:t>
      </w:r>
    </w:p>
    <w:p>
      <w:r>
        <w:t xml:space="preserve">A avaliação do </w:t>
      </w:r>
      <w:r>
        <w:rPr>
          <w:b/>
        </w:rPr>
        <w:t>Poder Calorífico Superior (PCS)</w:t>
      </w:r>
      <w:r>
        <w:t xml:space="preserve"> no período de abril a setembro de 2025 revela o perfil energético do gás natural introduzido no distrito de distribuição. Os dados estatísticos processados a partir dos registros de cromatografia e sistemas de supervisão estão consolidados na tabela abaixo:</w:t>
      </w:r>
    </w:p>
    <w:tbl>
      <w:tblPr>
        <w:tblStyle w:val="TableGrid"/>
        <w:tblW w:type="auto" w:w="0"/>
        <w:jc w:val="center"/>
        <w:tblLook w:firstColumn="1" w:firstRow="1" w:lastColumn="0" w:lastRow="0" w:noHBand="0" w:noVBand="1" w:val="04A0"/>
      </w:tblPr>
      <w:tblGrid>
        <w:gridCol w:w="4561"/>
        <w:gridCol w:w="4561"/>
      </w:tblGrid>
      <w:tr>
        <w:tc>
          <w:tcPr>
            <w:tcW w:type="dxa" w:w="4561"/>
            <w:shd w:fill="1A237E"/>
          </w:tcPr>
          <w:p>
            <w:pPr>
              <w:jc w:val="center"/>
            </w:pPr>
            <w:r>
              <w:rPr>
                <w:b/>
                <w:color w:val="FFFFFF"/>
                <w:sz w:val="18"/>
              </w:rPr>
              <w:t>Parâmetro Estatístico</w:t>
            </w:r>
          </w:p>
        </w:tc>
        <w:tc>
          <w:tcPr>
            <w:tcW w:type="dxa" w:w="4561"/>
            <w:shd w:fill="1A237E"/>
          </w:tcPr>
          <w:p>
            <w:pPr>
              <w:jc w:val="center"/>
            </w:pPr>
            <w:r>
              <w:rPr>
                <w:b/>
                <w:color w:val="FFFFFF"/>
                <w:sz w:val="18"/>
              </w:rPr>
              <w:t>Valor Calculado (kcal/m³)</w:t>
            </w:r>
          </w:p>
        </w:tc>
      </w:tr>
      <w:tr>
        <w:tc>
          <w:tcPr>
            <w:tcW w:type="dxa" w:w="4561"/>
            <w:shd w:fill="F5F5F5"/>
          </w:tcPr>
          <w:p>
            <w:r>
              <w:rPr>
                <w:sz w:val="18"/>
              </w:rPr>
              <w:t>PCS Médio</w:t>
            </w:r>
          </w:p>
        </w:tc>
        <w:tc>
          <w:tcPr>
            <w:tcW w:type="dxa" w:w="4561"/>
            <w:shd w:fill="F5F5F5"/>
          </w:tcPr>
          <w:p>
            <w:r>
              <w:rPr>
                <w:sz w:val="18"/>
              </w:rPr>
              <w:t>9.538,92</w:t>
            </w:r>
          </w:p>
        </w:tc>
      </w:tr>
      <w:tr>
        <w:tc>
          <w:tcPr>
            <w:tcW w:type="dxa" w:w="4561"/>
          </w:tcPr>
          <w:p>
            <w:r>
              <w:rPr>
                <w:sz w:val="18"/>
              </w:rPr>
              <w:t>PCS Mínimo</w:t>
            </w:r>
          </w:p>
        </w:tc>
        <w:tc>
          <w:tcPr>
            <w:tcW w:type="dxa" w:w="4561"/>
          </w:tcPr>
          <w:p>
            <w:r>
              <w:rPr>
                <w:sz w:val="18"/>
              </w:rPr>
              <w:t>9.167,85</w:t>
            </w:r>
          </w:p>
        </w:tc>
      </w:tr>
      <w:tr>
        <w:tc>
          <w:tcPr>
            <w:tcW w:type="dxa" w:w="4561"/>
            <w:shd w:fill="F5F5F5"/>
          </w:tcPr>
          <w:p>
            <w:r>
              <w:rPr>
                <w:sz w:val="18"/>
              </w:rPr>
              <w:t>PCS Máximo</w:t>
            </w:r>
          </w:p>
        </w:tc>
        <w:tc>
          <w:tcPr>
            <w:tcW w:type="dxa" w:w="4561"/>
            <w:shd w:fill="F5F5F5"/>
          </w:tcPr>
          <w:p>
            <w:r>
              <w:rPr>
                <w:sz w:val="18"/>
              </w:rPr>
              <w:t>9.785,96</w:t>
            </w:r>
          </w:p>
        </w:tc>
      </w:tr>
      <w:tr>
        <w:tc>
          <w:tcPr>
            <w:tcW w:type="dxa" w:w="4561"/>
          </w:tcPr>
          <w:p>
            <w:r>
              <w:rPr>
                <w:sz w:val="18"/>
              </w:rPr>
              <w:t>Desvio Padrão</w:t>
            </w:r>
          </w:p>
        </w:tc>
        <w:tc>
          <w:tcPr>
            <w:tcW w:type="dxa" w:w="4561"/>
          </w:tcPr>
          <w:p>
            <w:r>
              <w:rPr>
                <w:sz w:val="18"/>
              </w:rPr>
              <w:t>104,34</w:t>
            </w:r>
          </w:p>
        </w:tc>
      </w:tr>
      <w:tr>
        <w:tc>
          <w:tcPr>
            <w:tcW w:type="dxa" w:w="4561"/>
            <w:shd w:fill="F5F5F5"/>
          </w:tcPr>
          <w:p>
            <w:r>
              <w:rPr>
                <w:sz w:val="18"/>
              </w:rPr>
              <w:t>Amplitude Total</w:t>
            </w:r>
          </w:p>
        </w:tc>
        <w:tc>
          <w:tcPr>
            <w:tcW w:type="dxa" w:w="4561"/>
            <w:shd w:fill="F5F5F5"/>
          </w:tcPr>
          <w:p>
            <w:r>
              <w:rPr>
                <w:sz w:val="18"/>
              </w:rPr>
              <w:t>618,11</w:t>
            </w:r>
          </w:p>
        </w:tc>
      </w:tr>
    </w:tbl>
    <w:p/>
    <w:p>
      <w:r>
        <w:t xml:space="preserve">A análise da </w:t>
      </w:r>
      <w:r>
        <w:rPr>
          <w:b/>
        </w:rPr>
        <w:t>dispersão dos dados</w:t>
      </w:r>
      <w:r>
        <w:t xml:space="preserve"> indica uma variabilidade inerente à composição do gás proveniente da malha de transporte. O valor médio de </w:t>
      </w:r>
      <m:oMath>
        <m:r>
          <m:t>9.538,92</m:t>
        </m:r>
      </m:oMath>
      <w:r>
        <w:t xml:space="preserve"> kcal/m³ situa-se dentro dos parâmetros operacionais típicos, porém a </w:t>
      </w:r>
      <w:r>
        <w:rPr>
          <w:b/>
        </w:rPr>
        <w:t>amplitude observada</w:t>
      </w:r>
      <w:r>
        <w:t xml:space="preserve"> de </w:t>
      </w:r>
      <m:oMath>
        <m:r>
          <m:t>618,11</m:t>
        </m:r>
      </m:oMath>
      <w:r>
        <w:t xml:space="preserve"> kcal/m³ demonstra oscilações na qualidade do energético que podem impactar o faturamento se não forem devidamente compensadas pelo cálculo da energia entregue (</w:t>
      </w:r>
      <m:oMath>
        <m:r>
          <m:t>E=V·PCS</m:t>
        </m:r>
      </m:oMath>
      <w:r>
        <w:t>).</w:t>
      </w:r>
    </w:p>
    <w:p>
      <w:r>
        <w:t xml:space="preserve">O </w:t>
      </w:r>
      <w:r>
        <w:rPr>
          <w:b/>
        </w:rPr>
        <w:t>desvio padrão</w:t>
      </w:r>
      <w:r>
        <w:t xml:space="preserve"> de </w:t>
      </w:r>
      <m:oMath>
        <m:r>
          <m:t>104,34</m:t>
        </m:r>
      </m:oMath>
      <w:r>
        <w:t xml:space="preserve"> kcal/m³ sugere que a maior parte da distribuição dos dados ocorre em uma faixa estreita ao redor da média, indicando uma relativa estabilidade química na maior parte do tempo. No entanto, o valor mínimo registrado de </w:t>
      </w:r>
      <m:oMath>
        <m:r>
          <m:t>9.167,85</m:t>
        </m:r>
      </m:oMath>
      <w:r>
        <w:t xml:space="preserve"> kcal/m³ requer atenção técnica, pois aproxima-se dos limites inferiores usuais de especificação do gás natural nacional, o que pode influenciar a eficiência de queima em equipamentos industriais sensíveis do distrito.</w:t>
      </w:r>
    </w:p>
    <w:p>
      <w:r>
        <w:t xml:space="preserve">No que tange à integridade da medição e à consistência de dados entre os agentes, foi realizada a comparação entre os valores computados pela </w:t>
      </w:r>
      <w:r>
        <w:rPr>
          <w:b/>
        </w:rPr>
        <w:t>Concessionária</w:t>
      </w:r>
      <w:r>
        <w:t xml:space="preserve"> e pela </w:t>
      </w:r>
      <w:r>
        <w:rPr>
          <w:b/>
        </w:rPr>
        <w:t>Transportadora</w:t>
      </w:r>
      <w:r>
        <w:t xml:space="preserve"> no ponto de entrega. Os resultados de divergência percentual são apresentados a seguir:</w:t>
      </w:r>
    </w:p>
    <w:tbl>
      <w:tblPr>
        <w:tblStyle w:val="TableGrid"/>
        <w:tblW w:type="auto" w:w="0"/>
        <w:jc w:val="center"/>
        <w:tblLook w:firstColumn="1" w:firstRow="1" w:lastColumn="0" w:lastRow="0" w:noHBand="0" w:noVBand="1" w:val="04A0"/>
      </w:tblPr>
      <w:tblGrid>
        <w:gridCol w:w="4561"/>
        <w:gridCol w:w="4561"/>
      </w:tblGrid>
      <w:tr>
        <w:tc>
          <w:tcPr>
            <w:tcW w:type="dxa" w:w="4561"/>
            <w:shd w:fill="1A237E"/>
          </w:tcPr>
          <w:p>
            <w:pPr>
              <w:jc w:val="center"/>
            </w:pPr>
            <w:r>
              <w:rPr>
                <w:b/>
                <w:color w:val="FFFFFF"/>
                <w:sz w:val="18"/>
              </w:rPr>
              <w:t>Indicador de Conformidade</w:t>
            </w:r>
          </w:p>
        </w:tc>
        <w:tc>
          <w:tcPr>
            <w:tcW w:type="dxa" w:w="4561"/>
            <w:shd w:fill="1A237E"/>
          </w:tcPr>
          <w:p>
            <w:pPr>
              <w:jc w:val="center"/>
            </w:pPr>
            <w:r>
              <w:rPr>
                <w:b/>
                <w:color w:val="FFFFFF"/>
                <w:sz w:val="18"/>
              </w:rPr>
              <w:t>Diferença Percentual (%)</w:t>
            </w:r>
          </w:p>
        </w:tc>
      </w:tr>
      <w:tr>
        <w:tc>
          <w:tcPr>
            <w:tcW w:type="dxa" w:w="4561"/>
            <w:shd w:fill="F5F5F5"/>
          </w:tcPr>
          <w:p>
            <w:r>
              <w:rPr>
                <w:sz w:val="18"/>
              </w:rPr>
              <w:t>Diferença Média (Conc vs Transp)</w:t>
            </w:r>
          </w:p>
        </w:tc>
        <w:tc>
          <w:tcPr>
            <w:tcW w:type="dxa" w:w="4561"/>
            <w:shd w:fill="F5F5F5"/>
          </w:tcPr>
          <w:p>
            <w:r>
              <w:rPr>
                <w:sz w:val="18"/>
              </w:rPr>
              <w:t>0,000046%</w:t>
            </w:r>
          </w:p>
        </w:tc>
      </w:tr>
      <w:tr>
        <w:tc>
          <w:tcPr>
            <w:tcW w:type="dxa" w:w="4561"/>
          </w:tcPr>
          <w:p>
            <w:r>
              <w:rPr>
                <w:sz w:val="18"/>
              </w:rPr>
              <w:t>Diferença Máxima (Conc vs Transp)</w:t>
            </w:r>
          </w:p>
        </w:tc>
        <w:tc>
          <w:tcPr>
            <w:tcW w:type="dxa" w:w="4561"/>
          </w:tcPr>
          <w:p>
            <w:r>
              <w:rPr>
                <w:sz w:val="18"/>
              </w:rPr>
              <w:t>0,005208%</w:t>
            </w:r>
          </w:p>
        </w:tc>
      </w:tr>
    </w:tbl>
    <w:p/>
    <w:p>
      <w:r>
        <w:t xml:space="preserve">A </w:t>
      </w:r>
      <w:r>
        <w:rPr>
          <w:b/>
        </w:rPr>
        <w:t>concordância metrológica</w:t>
      </w:r>
      <w:r>
        <w:t xml:space="preserve"> entre os sistemas é considerada excelente. A diferença média de </w:t>
      </w:r>
      <m:oMath>
        <m:r>
          <m:t>0,000046%</m:t>
        </m:r>
      </m:oMath>
      <w:r>
        <w:t xml:space="preserve"> é estatisticamente desprezível e situa-se muito abaixo da </w:t>
      </w:r>
      <w:r>
        <w:rPr>
          <w:b/>
        </w:rPr>
        <w:t>incerteza expandida</w:t>
      </w:r>
      <w:r>
        <w:t xml:space="preserve"> permitida para sistemas de medição de faturamento. Mesmo o desvio máximo registrado (</w:t>
      </w:r>
      <m:oMath>
        <m:r>
          <m:t>0,005208%</m:t>
        </m:r>
      </m:oMath>
      <w:r>
        <w:t>) não compromete a exatidão da apuração energética, demonstrando que os algoritmos de cálculo de PCS, baseados na norma ISO 6976 ou GPA 2172, estão devidamente harmonizados entre as partes.</w:t>
      </w:r>
    </w:p>
    <w:p>
      <w:r>
        <w:t xml:space="preserve">Esses números confirmam que os erros de truncamento ou de integração de dados nos computadores de vazão são mínimos, garantindo que o </w:t>
      </w:r>
      <w:r>
        <w:rPr>
          <w:b/>
        </w:rPr>
        <w:t>faturamento energético</w:t>
      </w:r>
      <w:r>
        <w:t xml:space="preserve"> do distrito reflita fielmente as condições termodinâmicas do gás processado no período auditado.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029200" cy="1843828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cs_serie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184382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i/>
          <w:color w:val="666666"/>
          <w:sz w:val="18"/>
        </w:rPr>
        <w:t>Figura 3.1: Série temporal do PCS diário</w:t>
      </w:r>
    </w:p>
    <w:p/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029200" cy="2042315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cs_histograma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04231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i/>
          <w:color w:val="666666"/>
          <w:sz w:val="18"/>
        </w:rPr>
        <w:t>Figura 3.2: Distribuição do PCS</w:t>
      </w:r>
    </w:p>
    <w:p/>
    <w:p>
      <w:pPr>
        <w:pStyle w:val="Heading2"/>
      </w:pPr>
      <w:r>
        <w:t>Discussão dos Gráficos</w:t>
      </w:r>
    </w:p>
    <w:p>
      <w:pPr>
        <w:pStyle w:val="Heading3"/>
      </w:pPr>
      <w:r>
        <w:t>3.1 Discussão dos Gráficos</w:t>
      </w:r>
    </w:p>
    <w:p>
      <w:r>
        <w:t xml:space="preserve">Nesta subseção, apresenta-se a interpretação visual dos dados coletados, relacionando o comportamento dinâmico e estatístico do </w:t>
      </w:r>
      <w:r>
        <w:rPr>
          <w:b/>
        </w:rPr>
        <w:t>Poder Calorífico Superior (PCS)</w:t>
      </w:r>
      <w:r>
        <w:t xml:space="preserve"> no distrito de distribuição.</w:t>
      </w:r>
    </w:p>
    <w:p>
      <w:pPr>
        <w:pStyle w:val="Heading4"/>
      </w:pPr>
      <w:r>
        <w:t>3.1.1 Comportamento da Série Temporal</w:t>
      </w:r>
    </w:p>
    <w:p>
      <w:r>
        <w:t xml:space="preserve">Na </w:t>
      </w:r>
      <w:r>
        <w:rPr>
          <w:b/>
        </w:rPr>
        <w:t>Figura 3.1</w:t>
      </w:r>
      <w:r>
        <w:t xml:space="preserve">, observa-se o perfil diário do </w:t>
      </w:r>
      <w:r>
        <w:rPr>
          <w:b/>
        </w:rPr>
        <w:t>PCS (kcal/m³)</w:t>
      </w:r>
      <w:r>
        <w:t xml:space="preserve"> de entrada ao longo do período auditado. É possível notar uma aderência metrológica extremamente elevada entre as medições da </w:t>
      </w:r>
      <w:r>
        <w:rPr>
          <w:b/>
        </w:rPr>
        <w:t>Concessionária</w:t>
      </w:r>
      <w:r>
        <w:t xml:space="preserve"> e da </w:t>
      </w:r>
      <w:r>
        <w:rPr>
          <w:b/>
        </w:rPr>
        <w:t>Transportadora</w:t>
      </w:r>
      <w:r>
        <w:t>, cujas curvas apresentam-se praticamente sobrepostas em toda a extensão do gráfico. Essa conformidade visual sugere uma consistência robusta no processamento dos dados cromatográficos e na integração dos sistemas de medição de ambas as partes.</w:t>
      </w:r>
    </w:p>
    <w:p>
      <w:r>
        <w:t xml:space="preserve">A série temporal revela uma volatilidade característica da composição do gás natural injetado na rede, com oscilações frequentes em torno da linha de média de </w:t>
      </w:r>
      <w:r>
        <w:rPr>
          <w:b/>
        </w:rPr>
        <w:t>9.539 kcal/m³</w:t>
      </w:r>
      <w:r>
        <w:t>. Identificam-se, contudo, episódios de instabilidade composicional:</w:t>
      </w:r>
    </w:p>
    <w:p>
      <w:pPr>
        <w:pStyle w:val="ListBullet"/>
      </w:pPr>
      <w:r>
        <w:t xml:space="preserve">  </w:t>
      </w:r>
      <w:r>
        <w:rPr>
          <w:b/>
        </w:rPr>
        <w:t>Anomalias e Outliers:</w:t>
      </w:r>
      <w:r>
        <w:t xml:space="preserve"> Nota-se um ponto de inflexão crítico em meados de maio de 2025, onde o </w:t>
      </w:r>
      <w:r>
        <w:rPr>
          <w:b/>
        </w:rPr>
        <w:t>PCS</w:t>
      </w:r>
      <w:r>
        <w:t xml:space="preserve"> sofreu uma queda abrupta, atingindo o patamar mínimo do período (aproximadamente </w:t>
      </w:r>
      <m:oMath>
        <m:r>
          <m:t>9.170kcal/</m:t>
        </m:r>
        <m:sSup>
          <m:e>
            <m:r>
              <m:t>m</m:t>
            </m:r>
          </m:e>
          <m:sup>
            <m:r>
              <m:t>3</m:t>
            </m:r>
          </m:sup>
        </m:sSup>
      </m:oMath>
      <w:r>
        <w:t xml:space="preserve">). Inversamente, picos de riqueza energética foram registrados no início de abril e no final de julho, com valores aproximando-se de </w:t>
      </w:r>
      <m:oMath>
        <m:r>
          <m:t>9.800kcal/</m:t>
        </m:r>
        <m:sSup>
          <m:e>
            <m:r>
              <m:t>m</m:t>
            </m:r>
          </m:e>
          <m:sup>
            <m:r>
              <m:t>3</m:t>
            </m:r>
          </m:sup>
        </m:sSup>
      </m:oMath>
      <w:r>
        <w:t>.</w:t>
      </w:r>
    </w:p>
    <w:p>
      <w:pPr>
        <w:pStyle w:val="ListBullet"/>
      </w:pPr>
      <w:r>
        <w:t xml:space="preserve">  </w:t>
      </w:r>
      <w:r>
        <w:rPr>
          <w:b/>
        </w:rPr>
        <w:t>Tendências:</w:t>
      </w:r>
      <w:r>
        <w:t xml:space="preserve"> Não se observa uma tendência linear de elevação ou queda a longo prazo, mas sim um padrão de variação estocástica, típico de suprimentos provenientes de múltiplas fontes ou variações operacionais na unidade de processamento de gás natural (UPGN).</w:t>
      </w:r>
    </w:p>
    <w:p>
      <w:pPr>
        <w:pStyle w:val="Heading4"/>
      </w:pPr>
      <w:r>
        <w:t>3.1.2 Perfil de Distribuição Estatística</w:t>
      </w:r>
    </w:p>
    <w:p>
      <w:r>
        <w:t xml:space="preserve">Na </w:t>
      </w:r>
      <w:r>
        <w:rPr>
          <w:b/>
        </w:rPr>
        <w:t>Figura 3.2</w:t>
      </w:r>
      <w:r>
        <w:t xml:space="preserve">, a distribuição de frequências reforça a análise de estabilidade do parâmetro. O histograma demonstra que a maior densidade de ocorrências (frequência de dias) concentra-se no intervalo entre </w:t>
      </w:r>
      <w:r>
        <w:rPr>
          <w:b/>
        </w:rPr>
        <w:t>9.450 kcal/m³</w:t>
      </w:r>
      <w:r>
        <w:t xml:space="preserve"> e </w:t>
      </w:r>
      <w:r>
        <w:rPr>
          <w:b/>
        </w:rPr>
        <w:t>9.650 kcal/m³</w:t>
      </w:r>
      <w:r>
        <w:t>, o que caracteriza o regime operacional normal do distrito.</w:t>
      </w:r>
    </w:p>
    <w:p>
      <w:r>
        <w:t xml:space="preserve">A análise visual dos indicadores centrais na </w:t>
      </w:r>
      <w:r>
        <w:rPr>
          <w:b/>
        </w:rPr>
        <w:t>Figura 3.2</w:t>
      </w:r>
      <w:r>
        <w:t xml:space="preserve"> permite concluir:</w:t>
      </w:r>
    </w:p>
    <w:p>
      <w:pPr>
        <w:pStyle w:val="ListBullet"/>
      </w:pPr>
      <w:r>
        <w:t xml:space="preserve">  </w:t>
      </w:r>
      <w:r>
        <w:rPr>
          <w:b/>
        </w:rPr>
        <w:t>Simetria:</w:t>
      </w:r>
      <w:r>
        <w:t xml:space="preserve"> A proximidade entre a </w:t>
      </w:r>
      <w:r>
        <w:rPr>
          <w:b/>
        </w:rPr>
        <w:t>Média Conc (9.539 kcal/m³)</w:t>
      </w:r>
      <w:r>
        <w:t xml:space="preserve"> e a </w:t>
      </w:r>
      <w:r>
        <w:rPr>
          <w:b/>
        </w:rPr>
        <w:t>Mediana Conc (9.542 kcal/m³)</w:t>
      </w:r>
      <w:r>
        <w:t xml:space="preserve">, indicadas pelas linhas verticais tracejada e pontilhada, respectivamente, evidencia uma distribuição com baixo grau de assimetria. Isso indica que, apesar dos </w:t>
      </w:r>
      <w:r>
        <w:rPr>
          <w:i/>
        </w:rPr>
        <w:t>outliers</w:t>
      </w:r>
      <w:r>
        <w:t xml:space="preserve"> de baixo valor observados na série temporal, a maior parte do volume de gás entregue mantém-se estável e previsível.</w:t>
      </w:r>
    </w:p>
    <w:p>
      <w:pPr>
        <w:pStyle w:val="ListBullet"/>
      </w:pPr>
      <w:r>
        <w:t xml:space="preserve">  </w:t>
      </w:r>
      <w:r>
        <w:rPr>
          <w:b/>
        </w:rPr>
        <w:t>Consistência entre Agentes:</w:t>
      </w:r>
      <w:r>
        <w:t xml:space="preserve"> A sobreposição das barras verdes (Concessionária) e laranjas (Transportadora) resulta em uma área de interseção predominante, o que visualmente confirma que não há desvios sistemáticos (bias) significativos entre os conjuntos de dados reportados pelos dois agentes.</w:t>
      </w:r>
    </w:p>
    <w:p>
      <w:pPr>
        <w:pStyle w:val="ListBullet"/>
      </w:pPr>
      <w:r>
        <w:t xml:space="preserve">  </w:t>
      </w:r>
      <w:r>
        <w:rPr>
          <w:b/>
        </w:rPr>
        <w:t>Dispersão:</w:t>
      </w:r>
      <w:r>
        <w:t xml:space="preserve"> Observa-se uma base de distribuição larga, com caudas que se estendem para valores inferiores a </w:t>
      </w:r>
      <w:r>
        <w:rPr>
          <w:b/>
        </w:rPr>
        <w:t>9.200 kcal/m³</w:t>
      </w:r>
      <w:r>
        <w:t xml:space="preserve">, confirmando que, embora raros, o sistema está sujeito a incursões de gás com menor densidade energética, o que impacta diretamente o faturamento e o balanço energético em </w:t>
      </w:r>
      <w:r>
        <w:rPr>
          <w:b/>
        </w:rPr>
        <w:t>Nm³</w:t>
      </w:r>
      <w:r>
        <w:t>.</w:t>
      </w:r>
    </w:p>
    <w:p>
      <w:pPr>
        <w:pStyle w:val="Heading2"/>
      </w:pPr>
      <w:r>
        <w:t>Parecer Regulatório</w:t>
      </w:r>
    </w:p>
    <w:p>
      <w:r>
        <w:t xml:space="preserve">Com base na auditoria técnica realizada no período de abril a setembro de 2025, os valores e condições de operação relacionados ao </w:t>
      </w:r>
      <w:r>
        <w:rPr>
          <w:b/>
        </w:rPr>
        <w:t>Poder Calorífico Superior (PCS)</w:t>
      </w:r>
      <w:r>
        <w:t xml:space="preserve"> são classificados como </w:t>
      </w:r>
      <w:r>
        <w:rPr>
          <w:b/>
        </w:rPr>
        <w:t>NORMAIS</w:t>
      </w:r>
      <w:r>
        <w:t>, com elevado grau de conformidade metrológica.</w:t>
      </w:r>
    </w:p>
    <w:p>
      <w:r>
        <w:t xml:space="preserve">A convergência entre os dados registrados pela Concessionária e pela Transportadora, apresentando uma diferença média de apenas </w:t>
      </w:r>
      <w:r>
        <w:rPr>
          <w:b/>
        </w:rPr>
        <w:t>0,000046%</w:t>
      </w:r>
      <w:r>
        <w:t xml:space="preserve">, evidencia um alinhamento rigoroso nos procedimentos de integração de dados e na aplicação das equações de estado para o cálculo da energia. A </w:t>
      </w:r>
      <w:r>
        <w:rPr>
          <w:b/>
        </w:rPr>
        <w:t>incerteza expandida</w:t>
      </w:r>
      <w:r>
        <w:t xml:space="preserve"> do sistema permanece dentro dos limites regulamentares, e a rastreabilidade metrológica é garantida pela estabilidade dos cromatógrafos em linha.</w:t>
      </w:r>
    </w:p>
    <w:p>
      <w:r>
        <w:t xml:space="preserve">Apesar da conformidade geral, as variações de </w:t>
      </w:r>
      <w:r>
        <w:rPr>
          <w:b/>
        </w:rPr>
        <w:t>PCS</w:t>
      </w:r>
      <w:r>
        <w:t xml:space="preserve"> registradas (amplitude de </w:t>
      </w:r>
      <w:r>
        <w:rPr>
          <w:b/>
        </w:rPr>
        <w:t>618,11 kcal/m³</w:t>
      </w:r>
      <w:r>
        <w:t xml:space="preserve">) e as quedas pontuais para patamares próximos a </w:t>
      </w:r>
      <w:r>
        <w:rPr>
          <w:b/>
        </w:rPr>
        <w:t>9.167,85 kcal/m³</w:t>
      </w:r>
      <w:r>
        <w:t xml:space="preserve"> sugerem uma necessidade de monitoramento preventivo. Embora tais oscilações sejam inerentes à operação da malha de transporte, elas podem sensibilizar equipamentos de combustão de alta precisão em clientes industriais específicos.</w:t>
      </w:r>
    </w:p>
    <w:p>
      <w:r>
        <w:rPr>
          <w:b/>
        </w:rPr>
        <w:t>Ações Recomendadas:</w:t>
      </w:r>
    </w:p>
    <w:p>
      <w:pPr>
        <w:pStyle w:val="ListNumber"/>
      </w:pPr>
      <w:r>
        <w:rPr>
          <w:b/>
        </w:rPr>
        <w:t>Manutenção da Rastreabilidade:</w:t>
      </w:r>
      <w:r>
        <w:t xml:space="preserve"> Recomenda-se a continuidade do programa de calibração periódica dos cromatógrafos com </w:t>
      </w:r>
      <w:r>
        <w:rPr>
          <w:b/>
        </w:rPr>
        <w:t>Material de Referência Certificado (MRC)</w:t>
      </w:r>
      <w:r>
        <w:t xml:space="preserve">, mantendo os registros de </w:t>
      </w:r>
      <w:r>
        <w:rPr>
          <w:b/>
        </w:rPr>
        <w:t>RSS</w:t>
      </w:r>
      <w:r>
        <w:t xml:space="preserve"> e cálculos de incerteza conforme o </w:t>
      </w:r>
      <w:r>
        <w:rPr>
          <w:b/>
        </w:rPr>
        <w:t>GUM</w:t>
      </w:r>
      <w:r>
        <w:t>.</w:t>
      </w:r>
    </w:p>
    <w:p>
      <w:pPr>
        <w:pStyle w:val="ListNumber"/>
      </w:pPr>
      <w:r>
        <w:rPr>
          <w:b/>
        </w:rPr>
        <w:t>Monitoramento de Qualidade:</w:t>
      </w:r>
      <w:r>
        <w:t xml:space="preserve"> Sugere-se que a Concessionária implemente um protocolo de comunicação proativa com grandes consumidores industriais em episódios de queda abrupta do PCS (abaixo de </w:t>
      </w:r>
      <w:r>
        <w:rPr>
          <w:b/>
        </w:rPr>
        <w:t>9.200 kcal/m³</w:t>
      </w:r>
      <w:r>
        <w:t>), visando permitir ajustes preventivos em processos térmicos sensíveis.</w:t>
      </w:r>
    </w:p>
    <w:p>
      <w:pPr>
        <w:pStyle w:val="ListNumber"/>
      </w:pPr>
      <w:r>
        <w:rPr>
          <w:b/>
        </w:rPr>
        <w:t>Auditoria de Algoritmos:</w:t>
      </w:r>
      <w:r>
        <w:t xml:space="preserve"> Realizar, anualmente, um teste de verificação cruzada (cross-check) nos computadores de vazão para assegurar que as atualizações de software não alterem a integridade dos cálculos de </w:t>
      </w:r>
      <w:r>
        <w:rPr>
          <w:b/>
        </w:rPr>
        <w:t>$PCS_{real}$</w:t>
      </w:r>
      <w:r>
        <w:t xml:space="preserve"> e do fator de compressibilidade.</w:t>
      </w:r>
    </w:p>
    <w:p>
      <w:r>
        <w:br w:type="page"/>
      </w:r>
    </w:p>
    <w:p>
      <w:pPr>
        <w:pStyle w:val="Heading1"/>
      </w:pPr>
      <w:r>
        <w:t>4. Cálculo e Validação de Energia</w:t>
      </w:r>
    </w:p>
    <w:p>
      <w:r>
        <w:t>Este capítulo detalha o processo de apuração da energia entregue no distrito de distribuição, fundamentando-se na integração das variáveis de volume corrigido e qualidade físico-química do gás natural. A importância desta análise reside no fato de que o faturamento e o balanço energético do setor dependem da precisão na conversão do volume escoado em base energética, garantindo que a transação comercial reflita o real potencial termodinâmico do fluido movimentado. A auditoria focou na validação dos algoritmos de cálculo, na consistência das frações molares e na conformidade dos dados frente aos requisitos metrológicos e regulatórios vigentes.</w:t>
      </w:r>
    </w:p>
    <w:p>
      <w:r>
        <w:t>Os achados demonstram uma robustez significativa no sistema de medição e no processamento de dados. A correlação quase perfeita entre volume e energia (</w:t>
      </w:r>
      <m:oMath>
        <m:r>
          <m:t>r=0,999999</m:t>
        </m:r>
      </m:oMath>
      <w:r>
        <w:t xml:space="preserve">) e a ausência de desvios numéricos entre os cálculos auditados e os registros operacionais confirmam a integridade das parametrizações nos computadores de vazão. Embora tenham sido observadas oscilações sazonais de demanda e variações pontuais no </w:t>
      </w:r>
      <w:r>
        <w:rPr>
          <w:b/>
        </w:rPr>
        <w:t>Poder Calorífico Superior (PCS)</w:t>
      </w:r>
      <w:r>
        <w:t xml:space="preserve">, o sistema demonstrou sensibilidade e precisão para capturar tais flutuações, mantendo as discrepâncias entre os agentes em níveis estatisticamente desprezíveis e dentro da </w:t>
      </w:r>
      <w:r>
        <w:rPr>
          <w:b/>
        </w:rPr>
        <w:t>incerteza expandida</w:t>
      </w:r>
      <w:r>
        <w:t xml:space="preserve"> esperada para o segmento.</w:t>
      </w:r>
    </w:p>
    <w:p>
      <w:pPr>
        <w:spacing w:after="80"/>
      </w:pPr>
      <w:r>
        <w:rPr>
          <w:b/>
          <w:i/>
          <w:color w:val="1A237E"/>
          <w:sz w:val="20"/>
        </w:rPr>
        <w:t>Tabela 4.1: Validação do Cálculo de Energia</w:t>
      </w:r>
    </w:p>
    <w:tbl>
      <w:tblPr>
        <w:tblStyle w:val="TableGrid"/>
        <w:tblW w:type="auto" w:w="0"/>
        <w:jc w:val="center"/>
        <w:tblLook w:firstColumn="1" w:firstRow="1" w:lastColumn="0" w:lastRow="0" w:noHBand="0" w:noVBand="1" w:val="04A0"/>
      </w:tblPr>
      <w:tblGrid>
        <w:gridCol w:w="3041"/>
        <w:gridCol w:w="3041"/>
        <w:gridCol w:w="3041"/>
      </w:tblGrid>
      <w:tr>
        <w:tc>
          <w:tcPr>
            <w:tcW w:type="dxa" w:w="3041"/>
            <w:shd w:fill="1A237E"/>
          </w:tcPr>
          <w:p>
            <w:pPr>
              <w:jc w:val="center"/>
            </w:pPr>
            <w:r>
              <w:rPr>
                <w:b/>
                <w:color w:val="FFFFFF"/>
                <w:sz w:val="18"/>
              </w:rPr>
              <w:t>Métrica</w:t>
            </w:r>
          </w:p>
        </w:tc>
        <w:tc>
          <w:tcPr>
            <w:tcW w:type="dxa" w:w="3041"/>
            <w:shd w:fill="1A237E"/>
          </w:tcPr>
          <w:p>
            <w:pPr>
              <w:jc w:val="center"/>
            </w:pPr>
            <w:r>
              <w:rPr>
                <w:b/>
                <w:color w:val="FFFFFF"/>
                <w:sz w:val="18"/>
              </w:rPr>
              <w:t>Valor</w:t>
            </w:r>
          </w:p>
        </w:tc>
        <w:tc>
          <w:tcPr>
            <w:tcW w:type="dxa" w:w="3041"/>
            <w:shd w:fill="1A237E"/>
          </w:tcPr>
          <w:p>
            <w:pPr>
              <w:jc w:val="center"/>
            </w:pPr>
            <w:r>
              <w:rPr>
                <w:b/>
                <w:color w:val="FFFFFF"/>
                <w:sz w:val="18"/>
              </w:rPr>
              <w:t>Observação</w:t>
            </w:r>
          </w:p>
        </w:tc>
      </w:tr>
      <w:tr>
        <w:tc>
          <w:tcPr>
            <w:tcW w:type="dxa" w:w="3041"/>
            <w:shd w:fill="F5F5F5"/>
          </w:tcPr>
          <w:p>
            <w:r>
              <w:rPr>
                <w:sz w:val="18"/>
              </w:rPr>
              <w:t>Energia Média Diária</w:t>
            </w:r>
          </w:p>
        </w:tc>
        <w:tc>
          <w:tcPr>
            <w:tcW w:type="dxa" w:w="3041"/>
            <w:shd w:fill="F5F5F5"/>
          </w:tcPr>
          <w:p>
            <w:r>
              <w:rPr>
                <w:sz w:val="18"/>
              </w:rPr>
              <w:t>9,536.23 Gcal/d</w:t>
            </w:r>
          </w:p>
        </w:tc>
        <w:tc>
          <w:tcPr>
            <w:tcW w:type="dxa" w:w="3041"/>
            <w:shd w:fill="F5F5F5"/>
          </w:tcPr>
          <w:p>
            <w:r>
              <w:rPr>
                <w:sz w:val="18"/>
              </w:rPr>
            </w:r>
          </w:p>
        </w:tc>
      </w:tr>
      <w:tr>
        <w:tc>
          <w:tcPr>
            <w:tcW w:type="dxa" w:w="3041"/>
          </w:tcPr>
          <w:p>
            <w:r>
              <w:rPr>
                <w:sz w:val="18"/>
              </w:rPr>
              <w:t>Energia Mínima Diária</w:t>
            </w:r>
          </w:p>
        </w:tc>
        <w:tc>
          <w:tcPr>
            <w:tcW w:type="dxa" w:w="3041"/>
          </w:tcPr>
          <w:p>
            <w:r>
              <w:rPr>
                <w:sz w:val="18"/>
              </w:rPr>
              <w:t>4,779.25 Gcal/d</w:t>
            </w:r>
          </w:p>
        </w:tc>
        <w:tc>
          <w:tcPr>
            <w:tcW w:type="dxa" w:w="3041"/>
          </w:tcPr>
          <w:p>
            <w:r>
              <w:rPr>
                <w:sz w:val="18"/>
              </w:rPr>
            </w:r>
          </w:p>
        </w:tc>
      </w:tr>
      <w:tr>
        <w:tc>
          <w:tcPr>
            <w:tcW w:type="dxa" w:w="3041"/>
            <w:shd w:fill="F5F5F5"/>
          </w:tcPr>
          <w:p>
            <w:r>
              <w:rPr>
                <w:sz w:val="18"/>
              </w:rPr>
              <w:t>Energia Máxima Diária</w:t>
            </w:r>
          </w:p>
        </w:tc>
        <w:tc>
          <w:tcPr>
            <w:tcW w:type="dxa" w:w="3041"/>
            <w:shd w:fill="F5F5F5"/>
          </w:tcPr>
          <w:p>
            <w:r>
              <w:rPr>
                <w:sz w:val="18"/>
              </w:rPr>
              <w:t>11,730.53 Gcal/d</w:t>
            </w:r>
          </w:p>
        </w:tc>
        <w:tc>
          <w:tcPr>
            <w:tcW w:type="dxa" w:w="3041"/>
            <w:shd w:fill="F5F5F5"/>
          </w:tcPr>
          <w:p>
            <w:r>
              <w:rPr>
                <w:sz w:val="18"/>
              </w:rPr>
            </w:r>
          </w:p>
        </w:tc>
      </w:tr>
      <w:tr>
        <w:tc>
          <w:tcPr>
            <w:tcW w:type="dxa" w:w="3041"/>
          </w:tcPr>
          <w:p>
            <w:r>
              <w:rPr>
                <w:sz w:val="18"/>
              </w:rPr>
              <w:t>Energia Total</w:t>
            </w:r>
          </w:p>
        </w:tc>
        <w:tc>
          <w:tcPr>
            <w:tcW w:type="dxa" w:w="3041"/>
          </w:tcPr>
          <w:p>
            <w:r>
              <w:rPr>
                <w:sz w:val="18"/>
              </w:rPr>
              <w:t>1,745,130 Gcal</w:t>
            </w:r>
          </w:p>
        </w:tc>
        <w:tc>
          <w:tcPr>
            <w:tcW w:type="dxa" w:w="3041"/>
          </w:tcPr>
          <w:p>
            <w:r>
              <w:rPr>
                <w:sz w:val="18"/>
              </w:rPr>
              <w:t>~1,745 TJ</w:t>
            </w:r>
          </w:p>
        </w:tc>
      </w:tr>
      <w:tr>
        <w:tc>
          <w:tcPr>
            <w:tcW w:type="dxa" w:w="3041"/>
            <w:shd w:fill="F5F5F5"/>
          </w:tcPr>
          <w:p>
            <w:r>
              <w:rPr>
                <w:sz w:val="18"/>
              </w:rPr>
              <w:t>Dif. Calculado vs Planilha</w:t>
            </w:r>
          </w:p>
        </w:tc>
        <w:tc>
          <w:tcPr>
            <w:tcW w:type="dxa" w:w="3041"/>
            <w:shd w:fill="F5F5F5"/>
          </w:tcPr>
          <w:p>
            <w:r>
              <w:rPr>
                <w:sz w:val="18"/>
              </w:rPr>
              <w:t>0.00 kcal</w:t>
            </w:r>
          </w:p>
        </w:tc>
        <w:tc>
          <w:tcPr>
            <w:tcW w:type="dxa" w:w="3041"/>
            <w:shd w:fill="F5F5F5"/>
          </w:tcPr>
          <w:p>
            <w:r>
              <w:rPr>
                <w:sz w:val="18"/>
              </w:rPr>
              <w:t>Erro zero</w:t>
            </w:r>
          </w:p>
        </w:tc>
      </w:tr>
      <w:tr>
        <w:tc>
          <w:tcPr>
            <w:tcW w:type="dxa" w:w="3041"/>
          </w:tcPr>
          <w:p>
            <w:r>
              <w:rPr>
                <w:sz w:val="18"/>
              </w:rPr>
              <w:t>Correlação Vol × Energia</w:t>
            </w:r>
          </w:p>
        </w:tc>
        <w:tc>
          <w:tcPr>
            <w:tcW w:type="dxa" w:w="3041"/>
          </w:tcPr>
          <w:p>
            <w:r>
              <w:rPr>
                <w:sz w:val="18"/>
              </w:rPr>
              <w:t>0.999999</w:t>
            </w:r>
          </w:p>
        </w:tc>
        <w:tc>
          <w:tcPr>
            <w:tcW w:type="dxa" w:w="3041"/>
          </w:tcPr>
          <w:p>
            <w:r>
              <w:rPr>
                <w:sz w:val="18"/>
              </w:rPr>
              <w:t>r ≈ 1</w:t>
            </w:r>
          </w:p>
        </w:tc>
      </w:tr>
    </w:tbl>
    <w:p/>
    <w:p>
      <w:pPr>
        <w:pStyle w:val="Heading2"/>
      </w:pPr>
      <w:r>
        <w:t>Fundamentação Teórica</w:t>
      </w:r>
    </w:p>
    <w:p>
      <w:r>
        <w:t>A determinação da energia em sistemas de medição de gás natural é um processo multivariável que integra grandezas físicas e físico-químicas. Diferente da medição puramente volumétrica, o faturamento energético assegura a equidade comercial, uma vez que o valor econômico do combustível reside em seu potencial termodinâmico de oxidação, e não apenas no espaço ocupado pelo fluido.</w:t>
      </w:r>
    </w:p>
    <w:p>
      <w:pPr>
        <w:pStyle w:val="Heading3"/>
      </w:pPr>
      <w:r>
        <w:t>4.1.1. Conversão Volumétrica e Condições de Referência</w:t>
      </w:r>
    </w:p>
    <w:p>
      <w:r>
        <w:t>Para que o cálculo de energia seja válido, o volume medido nas condições de operação (</w:t>
      </w:r>
      <m:oMath>
        <m:sSub>
          <m:e>
            <m:r>
              <m:t>V</m:t>
            </m:r>
          </m:e>
          <m:sub>
            <m:r>
              <m:t>op</m:t>
            </m:r>
          </m:sub>
        </m:sSub>
      </m:oMath>
      <w:r>
        <w:t>) deve ser convertido para o volume nas condições de base ou referência (</w:t>
      </w:r>
      <m:oMath>
        <m:sSub>
          <m:e>
            <m:r>
              <m:t>V</m:t>
            </m:r>
          </m:e>
          <m:sub>
            <m:r>
              <m:t>b</m:t>
            </m:r>
          </m:sub>
        </m:sSub>
      </m:oMath>
      <w:r>
        <w:t xml:space="preserve">), comumente denominado </w:t>
      </w:r>
      <w:r>
        <w:rPr>
          <w:b/>
        </w:rPr>
        <w:t>Normal metro cúbico (Nm³)</w:t>
      </w:r>
      <w:r>
        <w:t xml:space="preserve">. Esta conversão é regida pela equação de estado dos gases reais, considerando o </w:t>
      </w:r>
      <w:r>
        <w:rPr>
          <w:b/>
        </w:rPr>
        <w:t>fator de compressibilidade (Z)</w:t>
      </w:r>
      <w:r>
        <w:t>, que corrige o comportamento do gás natural em relação a um gás ideal.</w:t>
      </w:r>
    </w:p>
    <w:p>
      <w:r>
        <w:t>A equação fundamental de correção volumétrica é expressa por:</w:t>
      </w:r>
    </w:p>
    <w:p>
      <w:pPr>
        <w:jc w:val="center"/>
      </w:pPr>
      <m:oMath>
        <m:sSub>
          <m:e>
            <m:r>
              <m:t>V</m:t>
            </m:r>
          </m:e>
          <m:sub>
            <m:r>
              <m:t>b</m:t>
            </m:r>
          </m:sub>
        </m:sSub>
        <m:r>
          <m:t>=</m:t>
        </m:r>
        <m:sSub>
          <m:e>
            <m:r>
              <m:t>V</m:t>
            </m:r>
          </m:e>
          <m:sub>
            <m:r>
              <m:t>op</m:t>
            </m:r>
          </m:sub>
        </m:sSub>
        <m:r>
          <m:t>·</m:t>
        </m:r>
        <m:f>
          <m:fPr>
            <m:type m:val="bar"/>
          </m:fPr>
          <m:num>
            <m:sSub>
              <m:e>
                <m:r>
                  <m:t>P</m:t>
                </m:r>
              </m:e>
              <m:sub>
                <m:r>
                  <m:t>op</m:t>
                </m:r>
              </m:sub>
            </m:sSub>
          </m:num>
          <m:den>
            <m:sSub>
              <m:e>
                <m:r>
                  <m:t>P</m:t>
                </m:r>
              </m:e>
              <m:sub>
                <m:r>
                  <m:t>b</m:t>
                </m:r>
              </m:sub>
            </m:sSub>
          </m:den>
        </m:f>
        <m:r>
          <m:t>·</m:t>
        </m:r>
        <m:f>
          <m:fPr>
            <m:type m:val="bar"/>
          </m:fPr>
          <m:num>
            <m:sSub>
              <m:e>
                <m:r>
                  <m:t>T</m:t>
                </m:r>
              </m:e>
              <m:sub>
                <m:r>
                  <m:t>b</m:t>
                </m:r>
              </m:sub>
            </m:sSub>
          </m:num>
          <m:den>
            <m:sSub>
              <m:e>
                <m:r>
                  <m:t>T</m:t>
                </m:r>
              </m:e>
              <m:sub>
                <m:r>
                  <m:t>op</m:t>
                </m:r>
              </m:sub>
            </m:sSub>
          </m:den>
        </m:f>
        <m:r>
          <m:t>·</m:t>
        </m:r>
        <m:f>
          <m:fPr>
            <m:type m:val="bar"/>
          </m:fPr>
          <m:num>
            <m:r>
              <m:t>1</m:t>
            </m:r>
          </m:num>
          <m:den>
            <m:sSub>
              <m:e>
                <m:r>
                  <m:t>Z</m:t>
                </m:r>
              </m:e>
              <m:sub>
                <m:r>
                  <m:t>ratio</m:t>
                </m:r>
              </m:sub>
            </m:sSub>
          </m:den>
        </m:f>
      </m:oMath>
    </w:p>
    <w:p>
      <w:r>
        <w:t>Onde:</w:t>
      </w:r>
    </w:p>
    <w:p>
      <w:pPr>
        <w:pStyle w:val="ListBullet"/>
      </w:pPr>
      <m:oMath>
        <m:sSub>
          <m:e>
            <m:r>
              <m:t>P</m:t>
            </m:r>
          </m:e>
          <m:sub>
            <m:r>
              <m:t>op</m:t>
            </m:r>
          </m:sub>
        </m:sSub>
      </m:oMath>
      <w:r>
        <w:t xml:space="preserve"> e </w:t>
      </w:r>
      <m:oMath>
        <m:sSub>
          <m:e>
            <m:r>
              <m:t>T</m:t>
            </m:r>
          </m:e>
          <m:sub>
            <m:r>
              <m:t>op</m:t>
            </m:r>
          </m:sub>
        </m:sSub>
      </m:oMath>
      <w:r>
        <w:t xml:space="preserve"> são a pressão e temperatura absolutas de operação;</w:t>
      </w:r>
    </w:p>
    <w:p>
      <w:pPr>
        <w:pStyle w:val="ListBullet"/>
      </w:pPr>
      <m:oMath>
        <m:sSub>
          <m:e>
            <m:r>
              <m:t>P</m:t>
            </m:r>
          </m:e>
          <m:sub>
            <m:r>
              <m:t>b</m:t>
            </m:r>
          </m:sub>
        </m:sSub>
      </m:oMath>
      <w:r>
        <w:t xml:space="preserve"> e </w:t>
      </w:r>
      <m:oMath>
        <m:sSub>
          <m:e>
            <m:r>
              <m:t>T</m:t>
            </m:r>
          </m:e>
          <m:sub>
            <m:r>
              <m:t>b</m:t>
            </m:r>
          </m:sub>
        </m:sSub>
      </m:oMath>
      <w:r>
        <w:t xml:space="preserve"> são a pressão e temperatura absolutas nas condições de base (</w:t>
      </w:r>
      <m:oMath>
        <m:r>
          <m:t>1,01325</m:t>
        </m:r>
      </m:oMath>
      <w:r>
        <w:t xml:space="preserve"> bar e </w:t>
      </w:r>
      <m:oMath>
        <m:r>
          <m:t>293,15</m:t>
        </m:r>
      </m:oMath>
      <w:r>
        <w:t xml:space="preserve"> K);</w:t>
      </w:r>
    </w:p>
    <w:p>
      <w:pPr>
        <w:pStyle w:val="ListBullet"/>
      </w:pPr>
      <m:oMath>
        <m:sSub>
          <m:e>
            <m:r>
              <m:t>Z</m:t>
            </m:r>
          </m:e>
          <m:sub>
            <m:r>
              <m:t>ratio</m:t>
            </m:r>
          </m:sub>
        </m:sSub>
      </m:oMath>
      <w:r>
        <w:t xml:space="preserve"> é a razão entre os fatores de compressibilidade nas condições de operação e de base (</w:t>
      </w:r>
      <m:oMath>
        <m:f>
          <m:fPr>
            <m:type m:val="lin"/>
          </m:fPr>
          <m:num>
            <m:sSub>
              <m:e>
                <m:r>
                  <m:t>Z</m:t>
                </m:r>
              </m:e>
              <m:sub>
                <m:r>
                  <m:t>op</m:t>
                </m:r>
              </m:sub>
            </m:sSub>
          </m:num>
          <m:den>
            <m:sSub>
              <m:e>
                <m:r>
                  <m:t>Z</m:t>
                </m:r>
              </m:e>
              <m:sub>
                <m:r>
                  <m:t>b</m:t>
                </m:r>
              </m:sub>
            </m:sSub>
          </m:den>
        </m:f>
      </m:oMath>
      <w:r>
        <w:t xml:space="preserve">), calculada usualmente pelas normas </w:t>
      </w:r>
      <w:r>
        <w:rPr>
          <w:b/>
        </w:rPr>
        <w:t>AGA 8</w:t>
      </w:r>
      <w:r>
        <w:t xml:space="preserve"> ou </w:t>
      </w:r>
      <w:r>
        <w:rPr>
          <w:b/>
        </w:rPr>
        <w:t>ISO 12213</w:t>
      </w:r>
      <w:r>
        <w:t>.</w:t>
      </w:r>
    </w:p>
    <w:p>
      <w:pPr>
        <w:pStyle w:val="Heading3"/>
      </w:pPr>
      <w:r>
        <w:t>4.1.2. Determinação do Poder Calorífico Superior (PCS)</w:t>
      </w:r>
    </w:p>
    <w:p>
      <w:r>
        <w:t xml:space="preserve">O </w:t>
      </w:r>
      <w:r>
        <w:rPr>
          <w:b/>
        </w:rPr>
        <w:t>Poder Calorífico Superior (PCS)</w:t>
      </w:r>
      <w:r>
        <w:t xml:space="preserve"> representa a quantidade de calor liberada pela combustão completa de uma unidade de volume de gás, considerando a condensação da água formada no processo. O cálculo do PCS é realizado de forma indireta através da composição molar obtida por </w:t>
      </w:r>
      <w:r>
        <w:rPr>
          <w:b/>
        </w:rPr>
        <w:t>cromatografia gasosa em linha</w:t>
      </w:r>
      <w:r>
        <w:t>.</w:t>
      </w:r>
    </w:p>
    <w:p>
      <w:r>
        <w:t xml:space="preserve">De acordo com a norma </w:t>
      </w:r>
      <w:r>
        <w:rPr>
          <w:b/>
        </w:rPr>
        <w:t>ISO 6976</w:t>
      </w:r>
      <w:r>
        <w:t>, o PCS da mistura é a soma ponderada dos poderes caloríficos individuais de cada componente:</w:t>
      </w:r>
    </w:p>
    <w:p>
      <w:pPr>
        <w:jc w:val="center"/>
      </w:pPr>
      <m:oMath>
        <m:r>
          <m:t>PCS=</m:t>
        </m:r>
        <m:nary>
          <m:naryPr>
            <m:chr m:val="∑"/>
            <m:limLoc m:val="subSup"/>
            <m:grow m:val="1"/>
            <m:subHide m:val="off"/>
            <m:supHide m:val="off"/>
          </m:naryPr>
          <m:sub>
            <m:r>
              <m:t>i=1</m:t>
            </m:r>
          </m:sub>
          <m:sup>
            <m:r>
              <m:t>n</m:t>
            </m:r>
          </m:sup>
          <m:e>
            <m:sSub>
              <m:e>
                <m:r>
                  <m:t>x</m:t>
                </m:r>
              </m:e>
              <m:sub>
                <m:r>
                  <m:t>i</m:t>
                </m:r>
              </m:sub>
            </m:sSub>
          </m:e>
        </m:nary>
        <m:r>
          <m:t>·PC</m:t>
        </m:r>
        <m:sSub>
          <m:e>
            <m:r>
              <m:t>S</m:t>
            </m:r>
          </m:e>
          <m:sub>
            <m:r>
              <m:t>i</m:t>
            </m:r>
          </m:sub>
        </m:sSub>
      </m:oMath>
    </w:p>
    <w:p>
      <w:r>
        <w:t>Onde:</w:t>
      </w:r>
    </w:p>
    <w:p>
      <w:pPr>
        <w:pStyle w:val="ListBullet"/>
      </w:pPr>
      <m:oMath>
        <m:sSub>
          <m:e>
            <m:r>
              <m:t>x</m:t>
            </m:r>
          </m:e>
          <m:sub>
            <m:r>
              <m:t>i</m:t>
            </m:r>
          </m:sub>
        </m:sSub>
      </m:oMath>
      <w:r>
        <w:t xml:space="preserve"> é a fração molar do componente </w:t>
      </w:r>
      <m:oMath>
        <m:r>
          <m:t>i</m:t>
        </m:r>
      </m:oMath>
      <w:r>
        <w:t>;</w:t>
      </w:r>
    </w:p>
    <w:p>
      <w:pPr>
        <w:pStyle w:val="ListBullet"/>
      </w:pPr>
      <m:oMath>
        <m:r>
          <m:t>PC</m:t>
        </m:r>
        <m:sSub>
          <m:e>
            <m:r>
              <m:t>S</m:t>
            </m:r>
          </m:e>
          <m:sub>
            <m:r>
              <m:t>i</m:t>
            </m:r>
          </m:sub>
        </m:sSub>
      </m:oMath>
      <w:r>
        <w:t xml:space="preserve"> é o poder calorífico superior do componente </w:t>
      </w:r>
      <m:oMath>
        <m:r>
          <m:t>i</m:t>
        </m:r>
      </m:oMath>
      <w:r>
        <w:t xml:space="preserve"> puro.</w:t>
      </w:r>
    </w:p>
    <w:p>
      <w:pPr>
        <w:pStyle w:val="Heading3"/>
      </w:pPr>
      <w:r>
        <w:t>4.1.3. Cálculo da Energia Total</w:t>
      </w:r>
    </w:p>
    <w:p>
      <w:r>
        <w:t>A energia total (</w:t>
      </w:r>
      <m:oMath>
        <m:r>
          <m:t>E</m:t>
        </m:r>
      </m:oMath>
      <w:r>
        <w:t xml:space="preserve">) entregue em um período é o produto do volume corrigido pelo poder calorífico médio do intervalo. Tecnicamente, a integração é realizada de forma discreta em </w:t>
      </w:r>
      <w:r>
        <w:rPr>
          <w:b/>
        </w:rPr>
        <w:t>computadores de vazão</w:t>
      </w:r>
      <w:r>
        <w:t>, que processam os sinais analíticos e de escoamento em tempo real:</w:t>
      </w:r>
    </w:p>
    <w:p>
      <w:pPr>
        <w:jc w:val="center"/>
      </w:pPr>
      <m:oMath>
        <m:r>
          <m:t>E=</m:t>
        </m:r>
        <m:sSub>
          <m:e>
            <m:r>
              <m:t>V</m:t>
            </m:r>
          </m:e>
          <m:sub>
            <m:r>
              <m:t>b</m:t>
            </m:r>
          </m:sub>
        </m:sSub>
        <m:r>
          <m:t>·PCS</m:t>
        </m:r>
      </m:oMath>
    </w:p>
    <w:p>
      <w:r>
        <w:t xml:space="preserve">As unidades de medida padronizadas para o faturamento são o </w:t>
      </w:r>
      <w:r>
        <w:rPr>
          <w:b/>
        </w:rPr>
        <w:t>Gigajoule (GJ)</w:t>
      </w:r>
      <w:r>
        <w:t xml:space="preserve"> ou a </w:t>
      </w:r>
      <w:r>
        <w:rPr>
          <w:b/>
        </w:rPr>
        <w:t>Megacaloria (Mcal)</w:t>
      </w:r>
      <w:r>
        <w:t xml:space="preserve">, sendo a conversão entre elas rigorosamente definida por constantes físicas. A </w:t>
      </w:r>
      <w:r>
        <w:rPr>
          <w:b/>
        </w:rPr>
        <w:t>correlação volume-energia</w:t>
      </w:r>
      <w:r>
        <w:t xml:space="preserve"> é, portanto, dependente da estabilidade da composição química do gás; variações nos teores de inertes (como </w:t>
      </w:r>
      <m:oMath>
        <m:sSub>
          <m:e>
            <m:r>
              <m:t>N</m:t>
            </m:r>
          </m:e>
          <m:sub>
            <m:r>
              <m:t>2</m:t>
            </m:r>
          </m:sub>
        </m:sSub>
      </m:oMath>
      <w:r>
        <w:t xml:space="preserve"> e </w:t>
      </w:r>
      <m:oMath>
        <m:r>
          <m:t>C</m:t>
        </m:r>
        <m:sSub>
          <m:e>
            <m:r>
              <m:t>O</m:t>
            </m:r>
          </m:e>
          <m:sub>
            <m:r>
              <m:t>2</m:t>
            </m:r>
          </m:sub>
        </m:sSub>
      </m:oMath>
      <w:r>
        <w:t>) ou de hidrocarbonetos pesados impactam diretamente o faturamento, mesmo que o volume físico permaneça constante.</w:t>
      </w:r>
    </w:p>
    <w:p>
      <w:pPr>
        <w:pStyle w:val="Heading3"/>
      </w:pPr>
      <w:r>
        <w:t>4.1.4. Incerteza de Medição e Validação Computacional</w:t>
      </w:r>
    </w:p>
    <w:p>
      <w:r>
        <w:t xml:space="preserve">A confiabilidade do cálculo de energia está sujeita à </w:t>
      </w:r>
      <w:r>
        <w:rPr>
          <w:b/>
        </w:rPr>
        <w:t>incerteza expandida ($U_{exp}$)</w:t>
      </w:r>
      <w:r>
        <w:t xml:space="preserve"> do sistema de medição. Conforme o guia </w:t>
      </w:r>
      <w:r>
        <w:rPr>
          <w:b/>
        </w:rPr>
        <w:t>GUM (Guia para a Expressão da Incerteza de Medição)</w:t>
      </w:r>
      <w:r>
        <w:t xml:space="preserve">, a incerteza da energia é o resultado da combinação das incertezas do volume e do PCS através do método </w:t>
      </w:r>
      <w:r>
        <w:rPr>
          <w:b/>
        </w:rPr>
        <w:t>RSS (Root Sum Square)</w:t>
      </w:r>
      <w:r>
        <w:t>:</w:t>
      </w:r>
    </w:p>
    <w:p>
      <w:pPr>
        <w:jc w:val="center"/>
      </w:pPr>
      <m:oMath>
        <m:sSub>
          <m:e>
            <m:r>
              <m:t>U</m:t>
            </m:r>
          </m:e>
          <m:sub>
            <m:r>
              <m:t>E</m:t>
            </m:r>
          </m:sub>
        </m:sSub>
        <m:r>
          <m:t>=</m:t>
        </m:r>
        <m:rad>
          <m:radPr>
            <m:degHide m:val="on"/>
          </m:radPr>
          <m:deg/>
          <m:e>
            <m:d>
              <m:dPr>
                <m:sepChr m:val=""/>
                <m:endChr m:val=""/>
              </m:dPr>
              <m:e>
                <m:sSub>
                  <m:e>
                    <m:r>
                      <m:t>U</m:t>
                    </m:r>
                  </m:e>
                  <m:sub>
                    <m:sSub>
                      <m:e>
                        <m:r>
                          <m:t>V</m:t>
                        </m:r>
                      </m:e>
                      <m:sub>
                        <m:r>
                          <m:t>b</m:t>
                        </m:r>
                      </m:sub>
                    </m:sSub>
                  </m:sub>
                </m:sSub>
                <m:sSup>
                  <m:e>
                    <m:r>
                      <m:t>)</m:t>
                    </m:r>
                  </m:e>
                  <m:sup>
                    <m:r>
                      <m:t>2</m:t>
                    </m:r>
                  </m:sup>
                </m:sSup>
                <m:r>
                  <m:t>+</m:t>
                </m:r>
                <m:r>
                  <m:t>(</m:t>
                </m:r>
                <m:sSub>
                  <m:e>
                    <m:r>
                      <m:t>U</m:t>
                    </m:r>
                  </m:e>
                  <m:sub>
                    <m:r>
                      <m:t>PCS</m:t>
                    </m:r>
                  </m:sub>
                </m:sSub>
                <m:sSup>
                  <m:e>
                    <m:r>
                      <m:t>)</m:t>
                    </m:r>
                  </m:e>
                  <m:sup>
                    <m:r>
                      <m:t>2</m:t>
                    </m:r>
                  </m:sup>
                </m:sSup>
              </m:e>
            </m:d>
          </m:e>
        </m:rad>
      </m:oMath>
    </w:p>
    <w:p>
      <w:r>
        <w:t>Para a validação do processamento de dados, os seguintes critérios técnicos são indispensáveis:</w:t>
      </w:r>
    </w:p>
    <w:p>
      <w:pPr>
        <w:pStyle w:val="ListBullet"/>
      </w:pPr>
      <w:r>
        <w:t xml:space="preserve">  </w:t>
      </w:r>
      <w:r>
        <w:rPr>
          <w:b/>
        </w:rPr>
        <w:t>Rastreabilidade:</w:t>
      </w:r>
      <w:r>
        <w:t xml:space="preserve"> Todos os instrumentos (transmissores de pressão, temperatura e cromatógrafos) devem possuir certificados de calibração vigentes e padrões rastreáveis a organismos nacionais ou internacionais.</w:t>
      </w:r>
    </w:p>
    <w:p>
      <w:pPr>
        <w:pStyle w:val="ListBullet"/>
      </w:pPr>
      <w:r>
        <w:t xml:space="preserve">  </w:t>
      </w:r>
      <w:r>
        <w:rPr>
          <w:b/>
        </w:rPr>
        <w:t>Cálculo de Verificação:</w:t>
      </w:r>
      <w:r>
        <w:t xml:space="preserve"> Utiliza-se a comparação entre o somatório das energias horárias processadas pelo computador de vazão e o cálculo de conferência baseado nos relatórios de fechamento diário.</w:t>
      </w:r>
    </w:p>
    <w:p>
      <w:pPr>
        <w:pStyle w:val="ListBullet"/>
      </w:pPr>
      <w:r>
        <w:t xml:space="preserve">  </w:t>
      </w:r>
      <w:r>
        <w:rPr>
          <w:b/>
        </w:rPr>
        <w:t>Consistência Cromatográfica:</w:t>
      </w:r>
      <w:r>
        <w:t xml:space="preserve"> A soma das frações molares dos componentes deve situar-se no intervalo de </w:t>
      </w:r>
      <m:oMath>
        <m:r>
          <m:t>1,0000±0,0001</m:t>
        </m:r>
      </m:oMath>
      <w:r>
        <w:t>. Caso contrário, o sistema de validação deve gerar alarmes de integridade.</w:t>
      </w:r>
    </w:p>
    <w:p>
      <w:r>
        <w:t>A tabela abaixo resume os parâmetros críticos para a validação da energia no distrito de distribuição:</w:t>
      </w:r>
    </w:p>
    <w:tbl>
      <w:tblPr>
        <w:tblStyle w:val="TableGrid"/>
        <w:tblW w:type="auto" w:w="0"/>
        <w:jc w:val="center"/>
        <w:tblLook w:firstColumn="1" w:firstRow="1" w:lastColumn="0" w:lastRow="0" w:noHBand="0" w:noVBand="1" w:val="04A0"/>
      </w:tblPr>
      <w:tblGrid>
        <w:gridCol w:w="3041"/>
        <w:gridCol w:w="3041"/>
        <w:gridCol w:w="3041"/>
      </w:tblGrid>
      <w:tr>
        <w:tc>
          <w:tcPr>
            <w:tcW w:type="dxa" w:w="3041"/>
            <w:shd w:fill="1A237E"/>
          </w:tcPr>
          <w:p>
            <w:pPr>
              <w:jc w:val="center"/>
            </w:pPr>
            <w:r>
              <w:rPr>
                <w:b/>
                <w:color w:val="FFFFFF"/>
                <w:sz w:val="18"/>
              </w:rPr>
              <w:t>Parâmetro</w:t>
            </w:r>
          </w:p>
        </w:tc>
        <w:tc>
          <w:tcPr>
            <w:tcW w:type="dxa" w:w="3041"/>
            <w:shd w:fill="1A237E"/>
          </w:tcPr>
          <w:p>
            <w:pPr>
              <w:jc w:val="center"/>
            </w:pPr>
            <w:r>
              <w:rPr>
                <w:b/>
                <w:color w:val="FFFFFF"/>
                <w:sz w:val="18"/>
              </w:rPr>
              <w:t>Unidade</w:t>
            </w:r>
          </w:p>
        </w:tc>
        <w:tc>
          <w:tcPr>
            <w:tcW w:type="dxa" w:w="3041"/>
            <w:shd w:fill="1A237E"/>
          </w:tcPr>
          <w:p>
            <w:pPr>
              <w:jc w:val="center"/>
            </w:pPr>
            <w:r>
              <w:rPr>
                <w:b/>
                <w:color w:val="FFFFFF"/>
                <w:sz w:val="18"/>
              </w:rPr>
              <w:t>Norma/Referência Técnica</w:t>
            </w:r>
          </w:p>
        </w:tc>
      </w:tr>
      <w:tr>
        <w:tc>
          <w:tcPr>
            <w:tcW w:type="dxa" w:w="3041"/>
            <w:shd w:fill="F5F5F5"/>
          </w:tcPr>
          <w:p>
            <w:r>
              <w:rPr>
                <w:sz w:val="18"/>
              </w:rPr>
              <w:t>Pressão de Base</w:t>
            </w:r>
          </w:p>
        </w:tc>
        <w:tc>
          <w:tcPr>
            <w:tcW w:type="dxa" w:w="3041"/>
            <w:shd w:fill="F5F5F5"/>
          </w:tcPr>
          <w:p>
            <w:r>
              <w:rPr>
                <w:sz w:val="18"/>
              </w:rPr>
              <w:t>$bar$</w:t>
            </w:r>
          </w:p>
        </w:tc>
        <w:tc>
          <w:tcPr>
            <w:tcW w:type="dxa" w:w="3041"/>
            <w:shd w:fill="F5F5F5"/>
          </w:tcPr>
          <w:p>
            <w:r>
              <w:rPr>
                <w:sz w:val="18"/>
              </w:rPr>
              <w:t>$1,01325$ (Condição Padrão)</w:t>
            </w:r>
          </w:p>
        </w:tc>
      </w:tr>
      <w:tr>
        <w:tc>
          <w:tcPr>
            <w:tcW w:type="dxa" w:w="3041"/>
          </w:tcPr>
          <w:p>
            <w:r>
              <w:rPr>
                <w:sz w:val="18"/>
              </w:rPr>
              <w:t>Temperatura de Base</w:t>
            </w:r>
          </w:p>
        </w:tc>
        <w:tc>
          <w:tcPr>
            <w:tcW w:type="dxa" w:w="3041"/>
          </w:tcPr>
          <w:p>
            <w:r>
              <w:rPr>
                <w:sz w:val="18"/>
              </w:rPr>
              <w:t>$°C$</w:t>
            </w:r>
          </w:p>
        </w:tc>
        <w:tc>
          <w:tcPr>
            <w:tcW w:type="dxa" w:w="3041"/>
          </w:tcPr>
          <w:p>
            <w:r>
              <w:rPr>
                <w:sz w:val="18"/>
              </w:rPr>
              <w:t>$20,00$ ou $15,00$ (conforme contrato)</w:t>
            </w:r>
          </w:p>
        </w:tc>
      </w:tr>
      <w:tr>
        <w:tc>
          <w:tcPr>
            <w:tcW w:type="dxa" w:w="3041"/>
            <w:shd w:fill="F5F5F5"/>
          </w:tcPr>
          <w:p>
            <w:r>
              <w:rPr>
                <w:sz w:val="18"/>
              </w:rPr>
              <w:t>Fator de Compressibilidade</w:t>
            </w:r>
          </w:p>
        </w:tc>
        <w:tc>
          <w:tcPr>
            <w:tcW w:type="dxa" w:w="3041"/>
            <w:shd w:fill="F5F5F5"/>
          </w:tcPr>
          <w:p>
            <w:r>
              <w:rPr>
                <w:sz w:val="18"/>
              </w:rPr>
              <w:t>Adimensional</w:t>
            </w:r>
          </w:p>
        </w:tc>
        <w:tc>
          <w:tcPr>
            <w:tcW w:type="dxa" w:w="3041"/>
            <w:shd w:fill="F5F5F5"/>
          </w:tcPr>
          <w:p>
            <w:r>
              <w:rPr>
                <w:sz w:val="18"/>
              </w:rPr>
              <w:t>AGA 8 / ISO 12213</w:t>
            </w:r>
          </w:p>
        </w:tc>
      </w:tr>
      <w:tr>
        <w:tc>
          <w:tcPr>
            <w:tcW w:type="dxa" w:w="3041"/>
          </w:tcPr>
          <w:p>
            <w:r>
              <w:rPr>
                <w:sz w:val="18"/>
              </w:rPr>
              <w:t>Propriedades Físicas</w:t>
            </w:r>
          </w:p>
        </w:tc>
        <w:tc>
          <w:tcPr>
            <w:tcW w:type="dxa" w:w="3041"/>
          </w:tcPr>
          <w:p>
            <w:r>
              <w:rPr>
                <w:sz w:val="18"/>
              </w:rPr>
              <w:t>$kcal/m^3$, $MJ/m^3$</w:t>
            </w:r>
          </w:p>
        </w:tc>
        <w:tc>
          <w:tcPr>
            <w:tcW w:type="dxa" w:w="3041"/>
          </w:tcPr>
          <w:p>
            <w:r>
              <w:rPr>
                <w:sz w:val="18"/>
              </w:rPr>
              <w:t>ISO 6976</w:t>
            </w:r>
          </w:p>
        </w:tc>
      </w:tr>
      <w:tr>
        <w:tc>
          <w:tcPr>
            <w:tcW w:type="dxa" w:w="3041"/>
            <w:shd w:fill="F5F5F5"/>
          </w:tcPr>
          <w:p>
            <w:r>
              <w:rPr>
                <w:sz w:val="18"/>
              </w:rPr>
              <w:t>Cálculo de Incerteza</w:t>
            </w:r>
          </w:p>
        </w:tc>
        <w:tc>
          <w:tcPr>
            <w:tcW w:type="dxa" w:w="3041"/>
            <w:shd w:fill="F5F5F5"/>
          </w:tcPr>
          <w:p>
            <w:r>
              <w:rPr>
                <w:sz w:val="18"/>
              </w:rPr>
              <w:t>$\%$</w:t>
            </w:r>
          </w:p>
        </w:tc>
        <w:tc>
          <w:tcPr>
            <w:tcW w:type="dxa" w:w="3041"/>
            <w:shd w:fill="F5F5F5"/>
          </w:tcPr>
          <w:p>
            <w:r>
              <w:rPr>
                <w:sz w:val="18"/>
              </w:rPr>
              <w:t>GUM / ISO 5168</w:t>
            </w:r>
          </w:p>
        </w:tc>
      </w:tr>
    </w:tbl>
    <w:p/>
    <w:p>
      <w:r>
        <w:rPr>
          <w:b/>
        </w:rPr>
        <w:t>A conformidade regulatória exige que o erro de medição e a incerteza associada não ultrapassem os limites estabelecidos pelas normas técnicas vigentes, garantindo que a energia faturada corresponda à energia efetivamente disponibilizada ao sistema.</w:t>
      </w:r>
    </w:p>
    <w:p>
      <w:pPr>
        <w:pStyle w:val="Heading2"/>
      </w:pPr>
      <w:r>
        <w:t>Análise dos Dados</w:t>
      </w:r>
    </w:p>
    <w:p>
      <w:r>
        <w:t>A avaliação quantitativa do Distrito de Medição, compreendendo o período de abril a setembro de 2025, revela um perfil de movimentação energética com variações significativas entre os extremos de demanda, conforme detalhado na Tabela 1.</w:t>
      </w:r>
    </w:p>
    <w:tbl>
      <w:tblPr>
        <w:tblStyle w:val="TableGrid"/>
        <w:tblW w:type="auto" w:w="0"/>
        <w:jc w:val="center"/>
        <w:tblLook w:firstColumn="1" w:firstRow="1" w:lastColumn="0" w:lastRow="0" w:noHBand="0" w:noVBand="1" w:val="04A0"/>
      </w:tblPr>
      <w:tblGrid>
        <w:gridCol w:w="3041"/>
        <w:gridCol w:w="3041"/>
        <w:gridCol w:w="3041"/>
      </w:tblGrid>
      <w:tr>
        <w:tc>
          <w:tcPr>
            <w:tcW w:type="dxa" w:w="3041"/>
            <w:shd w:fill="1A237E"/>
          </w:tcPr>
          <w:p>
            <w:pPr>
              <w:jc w:val="center"/>
            </w:pPr>
            <w:r>
              <w:rPr>
                <w:b/>
                <w:color w:val="FFFFFF"/>
                <w:sz w:val="18"/>
              </w:rPr>
              <w:t>Parâmetro Energético</w:t>
            </w:r>
          </w:p>
        </w:tc>
        <w:tc>
          <w:tcPr>
            <w:tcW w:type="dxa" w:w="3041"/>
            <w:shd w:fill="1A237E"/>
          </w:tcPr>
          <w:p>
            <w:pPr>
              <w:jc w:val="center"/>
            </w:pPr>
            <w:r>
              <w:rPr>
                <w:b/>
                <w:color w:val="FFFFFF"/>
                <w:sz w:val="18"/>
              </w:rPr>
              <w:t>Valor Observado</w:t>
            </w:r>
          </w:p>
        </w:tc>
        <w:tc>
          <w:tcPr>
            <w:tcW w:type="dxa" w:w="3041"/>
            <w:shd w:fill="1A237E"/>
          </w:tcPr>
          <w:p>
            <w:pPr>
              <w:jc w:val="center"/>
            </w:pPr>
            <w:r>
              <w:rPr>
                <w:b/>
                <w:color w:val="FFFFFF"/>
                <w:sz w:val="18"/>
              </w:rPr>
              <w:t>Unidade</w:t>
            </w:r>
          </w:p>
        </w:tc>
      </w:tr>
      <w:tr>
        <w:tc>
          <w:tcPr>
            <w:tcW w:type="dxa" w:w="3041"/>
            <w:shd w:fill="F5F5F5"/>
          </w:tcPr>
          <w:p>
            <w:r>
              <w:rPr>
                <w:sz w:val="18"/>
              </w:rPr>
              <w:t>Energia Média Diária</w:t>
            </w:r>
          </w:p>
        </w:tc>
        <w:tc>
          <w:tcPr>
            <w:tcW w:type="dxa" w:w="3041"/>
            <w:shd w:fill="F5F5F5"/>
          </w:tcPr>
          <w:p>
            <w:r>
              <w:rPr>
                <w:sz w:val="18"/>
              </w:rPr>
              <w:t>9.536,23</w:t>
            </w:r>
          </w:p>
        </w:tc>
        <w:tc>
          <w:tcPr>
            <w:tcW w:type="dxa" w:w="3041"/>
            <w:shd w:fill="F5F5F5"/>
          </w:tcPr>
          <w:p>
            <w:r>
              <w:rPr>
                <w:sz w:val="18"/>
              </w:rPr>
              <w:t>Gcal/dia</w:t>
            </w:r>
          </w:p>
        </w:tc>
      </w:tr>
      <w:tr>
        <w:tc>
          <w:tcPr>
            <w:tcW w:type="dxa" w:w="3041"/>
          </w:tcPr>
          <w:p>
            <w:r>
              <w:rPr>
                <w:sz w:val="18"/>
              </w:rPr>
              <w:t>Energia Mínima Diária</w:t>
            </w:r>
          </w:p>
        </w:tc>
        <w:tc>
          <w:tcPr>
            <w:tcW w:type="dxa" w:w="3041"/>
          </w:tcPr>
          <w:p>
            <w:r>
              <w:rPr>
                <w:sz w:val="18"/>
              </w:rPr>
              <w:t>4.779,25</w:t>
            </w:r>
          </w:p>
        </w:tc>
        <w:tc>
          <w:tcPr>
            <w:tcW w:type="dxa" w:w="3041"/>
          </w:tcPr>
          <w:p>
            <w:r>
              <w:rPr>
                <w:sz w:val="18"/>
              </w:rPr>
              <w:t>Gcal/dia</w:t>
            </w:r>
          </w:p>
        </w:tc>
      </w:tr>
      <w:tr>
        <w:tc>
          <w:tcPr>
            <w:tcW w:type="dxa" w:w="3041"/>
            <w:shd w:fill="F5F5F5"/>
          </w:tcPr>
          <w:p>
            <w:r>
              <w:rPr>
                <w:sz w:val="18"/>
              </w:rPr>
              <w:t>Energia Máxima Diária</w:t>
            </w:r>
          </w:p>
        </w:tc>
        <w:tc>
          <w:tcPr>
            <w:tcW w:type="dxa" w:w="3041"/>
            <w:shd w:fill="F5F5F5"/>
          </w:tcPr>
          <w:p>
            <w:r>
              <w:rPr>
                <w:sz w:val="18"/>
              </w:rPr>
              <w:t>11.730,53</w:t>
            </w:r>
          </w:p>
        </w:tc>
        <w:tc>
          <w:tcPr>
            <w:tcW w:type="dxa" w:w="3041"/>
            <w:shd w:fill="F5F5F5"/>
          </w:tcPr>
          <w:p>
            <w:r>
              <w:rPr>
                <w:sz w:val="18"/>
              </w:rPr>
              <w:t>Gcal/dia</w:t>
            </w:r>
          </w:p>
        </w:tc>
      </w:tr>
      <w:tr>
        <w:tc>
          <w:tcPr>
            <w:tcW w:type="dxa" w:w="3041"/>
          </w:tcPr>
          <w:p>
            <w:r>
              <w:rPr>
                <w:sz w:val="18"/>
              </w:rPr>
              <w:t>Energia Total Acumulada</w:t>
            </w:r>
          </w:p>
        </w:tc>
        <w:tc>
          <w:tcPr>
            <w:tcW w:type="dxa" w:w="3041"/>
          </w:tcPr>
          <w:p>
            <w:r>
              <w:rPr>
                <w:sz w:val="18"/>
              </w:rPr>
              <w:t>1.745.130,00</w:t>
            </w:r>
          </w:p>
        </w:tc>
        <w:tc>
          <w:tcPr>
            <w:tcW w:type="dxa" w:w="3041"/>
          </w:tcPr>
          <w:p>
            <w:r>
              <w:rPr>
                <w:sz w:val="18"/>
              </w:rPr>
              <w:t>Gcal</w:t>
            </w:r>
          </w:p>
        </w:tc>
      </w:tr>
    </w:tbl>
    <w:p/>
    <w:p>
      <w:r>
        <w:t>A amplitude verificada entre a energia mínima e máxima indica um fator de carga variável, o que exige do sistema de medição uma resposta dinâmica linear em toda a sua faixa de operação (</w:t>
      </w:r>
      <w:r>
        <w:rPr>
          <w:i/>
        </w:rPr>
        <w:t>turndown ratio</w:t>
      </w:r>
      <w:r>
        <w:t xml:space="preserve">). A </w:t>
      </w:r>
      <w:r>
        <w:rPr>
          <w:b/>
        </w:rPr>
        <w:t>energia total acumulada</w:t>
      </w:r>
      <w:r>
        <w:t xml:space="preserve"> de 1.745.130 Gcal (aproximadamente 1,745 Tcal) representa o montante crítico para fins de faturamento e balanço energético do distrito.</w:t>
      </w:r>
    </w:p>
    <w:p>
      <w:r>
        <w:t xml:space="preserve">No que tange à integridade do processamento de dados, a validação entre os valores calculados por esta auditoria e os registros apresentados na planilha de operação resultou em uma diferença de </w:t>
      </w:r>
      <m:oMath>
        <m:r>
          <m:t>0,00</m:t>
        </m:r>
      </m:oMath>
      <w:r>
        <w:t xml:space="preserve"> kcal (</w:t>
      </w:r>
      <m:oMath>
        <m:r>
          <m:t>0,000000%</m:t>
        </m:r>
      </m:oMath>
      <w:r>
        <w:t>). Este resultado é tecnicamente satisfatório, evidenciando que os algoritmos de integração de energia, que seguem a equação fundamental:</w:t>
      </w:r>
    </w:p>
    <w:p>
      <w:pPr>
        <w:jc w:val="center"/>
      </w:pPr>
      <m:oMath>
        <m:r>
          <m:t>E=V·PCS</m:t>
        </m:r>
      </m:oMath>
    </w:p>
    <w:p>
      <w:r>
        <w:t>Onde:</w:t>
      </w:r>
    </w:p>
    <w:p>
      <w:pPr>
        <w:pStyle w:val="ListBullet"/>
      </w:pPr>
      <m:oMath>
        <m:r>
          <m:t>E</m:t>
        </m:r>
      </m:oMath>
      <w:r>
        <w:t xml:space="preserve"> é a energia total (Gcal);</w:t>
      </w:r>
    </w:p>
    <w:p>
      <w:pPr>
        <w:pStyle w:val="ListBullet"/>
      </w:pPr>
      <m:oMath>
        <m:r>
          <m:t>V</m:t>
        </m:r>
      </m:oMath>
      <w:r>
        <w:t xml:space="preserve"> é o volume medido corrigido para as condições de referência (</w:t>
      </w:r>
      <m:oMath>
        <m:r>
          <m:t>N</m:t>
        </m:r>
        <m:sSup>
          <m:e>
            <m:r>
              <m:t>m</m:t>
            </m:r>
          </m:e>
          <m:sup>
            <m:r>
              <m:t>3</m:t>
            </m:r>
          </m:sup>
        </m:sSup>
      </m:oMath>
      <w:r>
        <w:t>);</w:t>
      </w:r>
    </w:p>
    <w:p>
      <w:pPr>
        <w:pStyle w:val="ListBullet"/>
      </w:pPr>
      <m:oMath>
        <m:r>
          <m:t>PCS</m:t>
        </m:r>
      </m:oMath>
      <w:r>
        <w:t xml:space="preserve"> é o Poder Calorífico Superior (</w:t>
      </w:r>
      <m:oMath>
        <m:r>
          <m:t>kcal/N</m:t>
        </m:r>
        <m:sSup>
          <m:e>
            <m:r>
              <m:t>m</m:t>
            </m:r>
          </m:e>
          <m:sup>
            <m:r>
              <m:t>3</m:t>
            </m:r>
          </m:sup>
        </m:sSup>
      </m:oMath>
      <w:r>
        <w:t>).</w:t>
      </w:r>
    </w:p>
    <w:p>
      <w:r>
        <w:t xml:space="preserve">A precisão absoluta nesta etapa de cálculo demonstra que não há erros de truncamento ou falhas de parametrização no sistema supervisório no que tange à aplicação do </w:t>
      </w:r>
      <w:r>
        <w:rPr>
          <w:b/>
        </w:rPr>
        <w:t>Poder Calorífico Superior (PCS)</w:t>
      </w:r>
      <w:r>
        <w:t xml:space="preserve"> sobre os volumes corrigidos.</w:t>
      </w:r>
    </w:p>
    <w:p>
      <w:r>
        <w:t xml:space="preserve">Um ponto de destaque na análise estatística é o coeficiente de correlação de Pearson entre o volume e a energia, que atingiu </w:t>
      </w:r>
      <m:oMath>
        <m:r>
          <m:t>r=0,999999</m:t>
        </m:r>
      </m:oMath>
      <w:r>
        <w:t xml:space="preserve">. Em termos de metrologia de gás natural, uma correlação desta magnitude indica uma </w:t>
      </w:r>
      <w:r>
        <w:rPr>
          <w:b/>
        </w:rPr>
        <w:t>estabilidade elevada na composição físico-química do gás</w:t>
      </w:r>
      <w:r>
        <w:t xml:space="preserve"> distribuído. Variações significativas no PCS resultariam em uma dispersão maior desse índice. A quase linearidade perfeita reafirma que a variabilidade da energia entregue no período foi ditada primordialmente pela oscilação do volume escoado, e não por flutuações na qualidade do energético.</w:t>
      </w:r>
    </w:p>
    <w:p>
      <w:r>
        <w:t xml:space="preserve">Sob a ótica da </w:t>
      </w:r>
      <w:r>
        <w:rPr>
          <w:b/>
        </w:rPr>
        <w:t>incerteza expandida</w:t>
      </w:r>
      <w:r>
        <w:t xml:space="preserve">, a conformidade total entre as bases de dados sugere que os componentes de incerteza do tipo B, associados ao processamento numérico, são desprezíveis frente às incertezas do tipo A e aos componentes de hardware (sensores de pressão, temperatura e elementos primários de vazão). A manutenção do erro relativo em </w:t>
      </w:r>
      <m:oMath>
        <m:r>
          <m:t>0,00%</m:t>
        </m:r>
      </m:oMath>
      <w:r>
        <w:t xml:space="preserve"> é um requisito essencial para a garantia da </w:t>
      </w:r>
      <w:r>
        <w:rPr>
          <w:b/>
        </w:rPr>
        <w:t>rastreabilidade metrológica</w:t>
      </w:r>
      <w:r>
        <w:t xml:space="preserve"> e para a mitigação de riscos de perdas comerciais não técnicas no distrito de distribuição.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029200" cy="1843828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nergia_serie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184382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i/>
          <w:color w:val="666666"/>
          <w:sz w:val="18"/>
        </w:rPr>
        <w:t>Figura 4.1: Série temporal da energia diária</w:t>
      </w:r>
    </w:p>
    <w:p/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029200" cy="1528046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nergia_diferencas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152804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i/>
          <w:color w:val="666666"/>
          <w:sz w:val="18"/>
        </w:rPr>
        <w:t>Figura 4.2: Diferenças de energia Conc. vs Transp.</w:t>
      </w:r>
    </w:p>
    <w:p/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029200" cy="2108237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nergia_mensal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0823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i/>
          <w:color w:val="666666"/>
          <w:sz w:val="18"/>
        </w:rPr>
        <w:t>Figura 4.3: Energia acumulada mensal</w:t>
      </w:r>
    </w:p>
    <w:p/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029200" cy="4091908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nergia_scatter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409190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i/>
          <w:color w:val="666666"/>
          <w:sz w:val="18"/>
        </w:rPr>
        <w:t>Figura 4.4: Correlação Volume × Energia × PCS</w:t>
      </w:r>
    </w:p>
    <w:p/>
    <w:p>
      <w:pPr>
        <w:pStyle w:val="Heading2"/>
      </w:pPr>
      <w:r>
        <w:t>Discussão dos Gráficos</w:t>
      </w:r>
    </w:p>
    <w:p>
      <w:r>
        <w:t>Nesta subseção, apresenta-se a interpretação técnica e visual das condições operacionais do distrito de distribuição, correlacionando as variáveis de medição de energia e volume ao longo do período auditado.</w:t>
      </w:r>
    </w:p>
    <w:p>
      <w:pPr>
        <w:pStyle w:val="Heading3"/>
      </w:pPr>
      <w:r>
        <w:t>Figura 4.1: Série temporal da energia diária</w:t>
      </w:r>
    </w:p>
    <w:p>
      <w:r>
        <w:t xml:space="preserve">Na </w:t>
      </w:r>
      <w:r>
        <w:rPr>
          <w:b/>
        </w:rPr>
        <w:t>Figura 4.1</w:t>
      </w:r>
      <w:r>
        <w:t xml:space="preserve">, observa-se o comportamento da entrega de energia diária, expressa em </w:t>
      </w:r>
      <w:r>
        <w:rPr>
          <w:b/>
        </w:rPr>
        <w:t>Gcal/d</w:t>
      </w:r>
      <w:r>
        <w:t xml:space="preserve">, no período de abril a outubro de 2025. É notável a sobreposição quase integral das curvas da </w:t>
      </w:r>
      <w:r>
        <w:rPr>
          <w:b/>
        </w:rPr>
        <w:t>Concessionária</w:t>
      </w:r>
      <w:r>
        <w:t xml:space="preserve"> e da </w:t>
      </w:r>
      <w:r>
        <w:rPr>
          <w:b/>
        </w:rPr>
        <w:t>Transportadora</w:t>
      </w:r>
      <w:r>
        <w:t>, o que indica, à primeira vista, uma excelente concordância entre os sistemas de medição de ambas as partes.</w:t>
      </w:r>
    </w:p>
    <w:p>
      <w:r>
        <w:t xml:space="preserve">A média do período situa-se em </w:t>
      </w:r>
      <w:r>
        <w:rPr>
          <w:b/>
        </w:rPr>
        <w:t>9.536 Gcal/d</w:t>
      </w:r>
      <w:r>
        <w:t xml:space="preserve">, conforme indicado pela linha de referência tracejada. Identificam-se dois episódios de redução acentuada na oferta de energia: o primeiro no final de abril, com um vale atingindo patamares inferiores a </w:t>
      </w:r>
      <w:r>
        <w:rPr>
          <w:b/>
        </w:rPr>
        <w:t>5.000 Gcal/d</w:t>
      </w:r>
      <w:r>
        <w:t xml:space="preserve">, e o segundo, de caráter mais prolongado, na segunda quinzena de agosto, onde a energia entregue estabilizou-se em torno de </w:t>
      </w:r>
      <w:r>
        <w:rPr>
          <w:b/>
        </w:rPr>
        <w:t>5.500 a 6.000 Gcal/d</w:t>
      </w:r>
      <w:r>
        <w:t>. Tais reduções sugerem paradas programadas para manutenção ou variações sazonais bruscas na demanda industrial do distrito.</w:t>
      </w:r>
    </w:p>
    <w:p>
      <w:pPr>
        <w:pStyle w:val="Heading3"/>
      </w:pPr>
      <w:r>
        <w:t>Figura 4.2: Diferenças de energia Conc. vs Transp.</w:t>
      </w:r>
    </w:p>
    <w:p>
      <w:r>
        <w:t xml:space="preserve">A </w:t>
      </w:r>
      <w:r>
        <w:rPr>
          <w:b/>
        </w:rPr>
        <w:t>Figura 4.2</w:t>
      </w:r>
      <w:r>
        <w:t xml:space="preserve"> detalha as discrepâncias diárias de energia entre os dois agentes. Nota-se que as variações oscilam em uma banda estreita, predominantemente entre </w:t>
      </w:r>
      <w:r>
        <w:rPr>
          <w:b/>
        </w:rPr>
        <w:t>-0,6 Gcal</w:t>
      </w:r>
      <w:r>
        <w:t xml:space="preserve"> e </w:t>
      </w:r>
      <w:r>
        <w:rPr>
          <w:b/>
        </w:rPr>
        <w:t>+0,5 Gcal</w:t>
      </w:r>
      <w:r>
        <w:t xml:space="preserve">. Considerando que o volume de energia diário médio é superior a </w:t>
      </w:r>
      <w:r>
        <w:rPr>
          <w:b/>
        </w:rPr>
        <w:t>9.500 Gcal/d</w:t>
      </w:r>
      <w:r>
        <w:t>, essas diferenças representam um desvio relativo extremamente baixo, reforçando a confiabilidade metrológica do sistema.</w:t>
      </w:r>
    </w:p>
    <w:p>
      <w:r>
        <w:t xml:space="preserve">Não se observa uma tendência sistemática (viés) de faturamento a favor de um dos agentes de forma contínua, uma vez que a distribuição das barras em torno do eixo zero é aleatória. As pequenas oscilações registradas são compatíveis com o comportamento esperado de ruído estatístico em sistemas de medição de alta precisão e estão possivelmente ligadas a diferenças residuais nos tempos de integração de dados ou na </w:t>
      </w:r>
      <w:r>
        <w:rPr>
          <w:b/>
        </w:rPr>
        <w:t>incerteza expandida</w:t>
      </w:r>
      <w:r>
        <w:t xml:space="preserve"> inerente aos sensores de temperatura e pressão.</w:t>
      </w:r>
    </w:p>
    <w:p>
      <w:pPr>
        <w:pStyle w:val="Heading3"/>
      </w:pPr>
      <w:r>
        <w:t>Figura 4.3: Energia acumulada mensal</w:t>
      </w:r>
    </w:p>
    <w:p>
      <w:r>
        <w:t xml:space="preserve">Na </w:t>
      </w:r>
      <w:r>
        <w:rPr>
          <w:b/>
        </w:rPr>
        <w:t>Figura 4.3</w:t>
      </w:r>
      <w:r>
        <w:t xml:space="preserve">, a análise do balanço mensal acumulado em </w:t>
      </w:r>
      <w:r>
        <w:rPr>
          <w:b/>
        </w:rPr>
        <w:t>Tcal ($10^3$ Gcal)</w:t>
      </w:r>
      <w:r>
        <w:t xml:space="preserve"> confirma a aderência entre as medições da </w:t>
      </w:r>
      <w:r>
        <w:rPr>
          <w:b/>
        </w:rPr>
        <w:t>Concessionária</w:t>
      </w:r>
      <w:r>
        <w:t xml:space="preserve"> e da </w:t>
      </w:r>
      <w:r>
        <w:rPr>
          <w:b/>
        </w:rPr>
        <w:t>Transportadora</w:t>
      </w:r>
      <w:r>
        <w:t>. A tabela abaixo resume os valores observados, destacando a estabilidade da medição conjunta:</w:t>
      </w:r>
    </w:p>
    <w:tbl>
      <w:tblPr>
        <w:tblStyle w:val="TableGrid"/>
        <w:tblW w:type="auto" w:w="0"/>
        <w:jc w:val="center"/>
        <w:tblLook w:firstColumn="1" w:firstRow="1" w:lastColumn="0" w:lastRow="0" w:noHBand="0" w:noVBand="1" w:val="04A0"/>
      </w:tblPr>
      <w:tblGrid>
        <w:gridCol w:w="3041"/>
        <w:gridCol w:w="3041"/>
        <w:gridCol w:w="3041"/>
      </w:tblGrid>
      <w:tr>
        <w:tc>
          <w:tcPr>
            <w:tcW w:type="dxa" w:w="3041"/>
            <w:shd w:fill="1A237E"/>
          </w:tcPr>
          <w:p>
            <w:pPr>
              <w:jc w:val="center"/>
            </w:pPr>
            <w:r>
              <w:rPr>
                <w:b/>
                <w:color w:val="FFFFFF"/>
                <w:sz w:val="18"/>
              </w:rPr>
              <w:t>Mês</w:t>
            </w:r>
          </w:p>
        </w:tc>
        <w:tc>
          <w:tcPr>
            <w:tcW w:type="dxa" w:w="3041"/>
            <w:shd w:fill="1A237E"/>
          </w:tcPr>
          <w:p>
            <w:pPr>
              <w:jc w:val="center"/>
            </w:pPr>
            <w:r>
              <w:rPr>
                <w:b/>
                <w:color w:val="FFFFFF"/>
                <w:sz w:val="18"/>
              </w:rPr>
              <w:t>Energia Acumulada (Tcal)</w:t>
            </w:r>
          </w:p>
        </w:tc>
        <w:tc>
          <w:tcPr>
            <w:tcW w:type="dxa" w:w="3041"/>
            <w:shd w:fill="1A237E"/>
          </w:tcPr>
          <w:p>
            <w:pPr>
              <w:jc w:val="center"/>
            </w:pPr>
            <w:r>
              <w:rPr>
                <w:b/>
                <w:color w:val="FFFFFF"/>
                <w:sz w:val="18"/>
              </w:rPr>
              <w:t>Observação</w:t>
            </w:r>
          </w:p>
        </w:tc>
      </w:tr>
      <w:tr>
        <w:tc>
          <w:tcPr>
            <w:tcW w:type="dxa" w:w="3041"/>
            <w:shd w:fill="F5F5F5"/>
          </w:tcPr>
          <w:p>
            <w:r>
              <w:rPr>
                <w:sz w:val="18"/>
              </w:rPr>
              <w:t>2025-04</w:t>
            </w:r>
          </w:p>
        </w:tc>
        <w:tc>
          <w:tcPr>
            <w:tcW w:type="dxa" w:w="3041"/>
            <w:shd w:fill="F5F5F5"/>
          </w:tcPr>
          <w:p>
            <w:r>
              <w:rPr>
                <w:sz w:val="18"/>
              </w:rPr>
              <w:t>279</w:t>
            </w:r>
          </w:p>
        </w:tc>
        <w:tc>
          <w:tcPr>
            <w:tcW w:type="dxa" w:w="3041"/>
            <w:shd w:fill="F5F5F5"/>
          </w:tcPr>
          <w:p>
            <w:r>
              <w:rPr>
                <w:sz w:val="18"/>
              </w:rPr>
              <w:t>Período com queda pontual de demanda.</w:t>
            </w:r>
          </w:p>
        </w:tc>
      </w:tr>
      <w:tr>
        <w:tc>
          <w:tcPr>
            <w:tcW w:type="dxa" w:w="3041"/>
          </w:tcPr>
          <w:p>
            <w:r>
              <w:rPr>
                <w:sz w:val="18"/>
              </w:rPr>
              <w:t>2025-05</w:t>
            </w:r>
          </w:p>
        </w:tc>
        <w:tc>
          <w:tcPr>
            <w:tcW w:type="dxa" w:w="3041"/>
          </w:tcPr>
          <w:p>
            <w:r>
              <w:rPr>
                <w:sz w:val="18"/>
              </w:rPr>
              <w:t>316</w:t>
            </w:r>
          </w:p>
        </w:tc>
        <w:tc>
          <w:tcPr>
            <w:tcW w:type="dxa" w:w="3041"/>
          </w:tcPr>
          <w:p>
            <w:r>
              <w:rPr>
                <w:sz w:val="18"/>
              </w:rPr>
              <w:t>Pico de entrega de energia no semestre.</w:t>
            </w:r>
          </w:p>
        </w:tc>
      </w:tr>
      <w:tr>
        <w:tc>
          <w:tcPr>
            <w:tcW w:type="dxa" w:w="3041"/>
            <w:shd w:fill="F5F5F5"/>
          </w:tcPr>
          <w:p>
            <w:r>
              <w:rPr>
                <w:sz w:val="18"/>
              </w:rPr>
              <w:t>2025-06</w:t>
            </w:r>
          </w:p>
        </w:tc>
        <w:tc>
          <w:tcPr>
            <w:tcW w:type="dxa" w:w="3041"/>
            <w:shd w:fill="F5F5F5"/>
          </w:tcPr>
          <w:p>
            <w:r>
              <w:rPr>
                <w:sz w:val="18"/>
              </w:rPr>
              <w:t>310</w:t>
            </w:r>
          </w:p>
        </w:tc>
        <w:tc>
          <w:tcPr>
            <w:tcW w:type="dxa" w:w="3041"/>
            <w:shd w:fill="F5F5F5"/>
          </w:tcPr>
          <w:p>
            <w:r>
              <w:rPr>
                <w:sz w:val="18"/>
              </w:rPr>
              <w:t>Manutenção de alto patamar operacional.</w:t>
            </w:r>
          </w:p>
        </w:tc>
      </w:tr>
      <w:tr>
        <w:tc>
          <w:tcPr>
            <w:tcW w:type="dxa" w:w="3041"/>
          </w:tcPr>
          <w:p>
            <w:r>
              <w:rPr>
                <w:sz w:val="18"/>
              </w:rPr>
              <w:t>2025-07</w:t>
            </w:r>
          </w:p>
        </w:tc>
        <w:tc>
          <w:tcPr>
            <w:tcW w:type="dxa" w:w="3041"/>
          </w:tcPr>
          <w:p>
            <w:r>
              <w:rPr>
                <w:sz w:val="18"/>
              </w:rPr>
              <w:t>299</w:t>
            </w:r>
          </w:p>
        </w:tc>
        <w:tc>
          <w:tcPr>
            <w:tcW w:type="dxa" w:w="3041"/>
          </w:tcPr>
          <w:p>
            <w:r>
              <w:rPr>
                <w:sz w:val="18"/>
              </w:rPr>
              <w:t>Redução gradual em relação ao bimestre anterior.</w:t>
            </w:r>
          </w:p>
        </w:tc>
      </w:tr>
      <w:tr>
        <w:tc>
          <w:tcPr>
            <w:tcW w:type="dxa" w:w="3041"/>
            <w:shd w:fill="F5F5F5"/>
          </w:tcPr>
          <w:p>
            <w:r>
              <w:rPr>
                <w:sz w:val="18"/>
              </w:rPr>
              <w:t>2025-08</w:t>
            </w:r>
          </w:p>
        </w:tc>
        <w:tc>
          <w:tcPr>
            <w:tcW w:type="dxa" w:w="3041"/>
            <w:shd w:fill="F5F5F5"/>
          </w:tcPr>
          <w:p>
            <w:r>
              <w:rPr>
                <w:sz w:val="18"/>
              </w:rPr>
              <w:t>253</w:t>
            </w:r>
          </w:p>
        </w:tc>
        <w:tc>
          <w:tcPr>
            <w:tcW w:type="dxa" w:w="3041"/>
            <w:shd w:fill="F5F5F5"/>
          </w:tcPr>
          <w:p>
            <w:r>
              <w:rPr>
                <w:sz w:val="18"/>
              </w:rPr>
              <w:t>Menor volume mensal registrado (reflexo da anomalia vista na Fig. 4.1).</w:t>
            </w:r>
          </w:p>
        </w:tc>
      </w:tr>
      <w:tr>
        <w:tc>
          <w:tcPr>
            <w:tcW w:type="dxa" w:w="3041"/>
          </w:tcPr>
          <w:p>
            <w:r>
              <w:rPr>
                <w:sz w:val="18"/>
              </w:rPr>
              <w:t>2025-09</w:t>
            </w:r>
          </w:p>
        </w:tc>
        <w:tc>
          <w:tcPr>
            <w:tcW w:type="dxa" w:w="3041"/>
          </w:tcPr>
          <w:p>
            <w:r>
              <w:rPr>
                <w:sz w:val="18"/>
              </w:rPr>
              <w:t>289</w:t>
            </w:r>
          </w:p>
        </w:tc>
        <w:tc>
          <w:tcPr>
            <w:tcW w:type="dxa" w:w="3041"/>
          </w:tcPr>
          <w:p>
            <w:r>
              <w:rPr>
                <w:sz w:val="18"/>
              </w:rPr>
              <w:t>Recuperação da carga operacional média.</w:t>
            </w:r>
          </w:p>
        </w:tc>
      </w:tr>
    </w:tbl>
    <w:p/>
    <w:p>
      <w:pPr>
        <w:pStyle w:val="Heading3"/>
      </w:pPr>
      <w:r>
        <w:t>Figura 4.4: Correlação Volume × Energia × PCS</w:t>
      </w:r>
    </w:p>
    <w:p>
      <w:r>
        <w:t xml:space="preserve">A </w:t>
      </w:r>
      <w:r>
        <w:rPr>
          <w:b/>
        </w:rPr>
        <w:t>Figura 4.4</w:t>
      </w:r>
      <w:r>
        <w:t xml:space="preserve"> apresenta a relação entre o volume entregue e a energia correspondente, com a terceira dimensão dada pelo </w:t>
      </w:r>
      <w:r>
        <w:rPr>
          <w:b/>
        </w:rPr>
        <w:t>PCS (Poder Calorífico Superior)</w:t>
      </w:r>
      <w:r>
        <w:t xml:space="preserve"> em </w:t>
      </w:r>
      <w:r>
        <w:rPr>
          <w:b/>
        </w:rPr>
        <w:t>kcal/m³</w:t>
      </w:r>
      <w:r>
        <w:t xml:space="preserve">. A correlação linear observada é fortíssima, com um coeficiente de determinação </w:t>
      </w:r>
      <m:oMath>
        <m:r>
          <m:t>r=0,997973</m:t>
        </m:r>
      </m:oMath>
      <w:r>
        <w:t xml:space="preserve">, o que valida a consistência do cálculo de energia através da equação </w:t>
      </w:r>
      <m:oMath>
        <m:r>
          <m:t>E=V·PCS</m:t>
        </m:r>
      </m:oMath>
      <w:r>
        <w:t>.</w:t>
      </w:r>
    </w:p>
    <w:p>
      <w:r>
        <w:t xml:space="preserve">A coloração dos pontos revela a variabilidade do </w:t>
      </w:r>
      <w:r>
        <w:rPr>
          <w:b/>
        </w:rPr>
        <w:t>PCS</w:t>
      </w:r>
      <w:r>
        <w:t xml:space="preserve"> ao longo do tempo:</w:t>
      </w:r>
    </w:p>
    <w:p>
      <w:pPr>
        <w:pStyle w:val="ListBullet"/>
      </w:pPr>
      <w:r>
        <w:t xml:space="preserve">  A maioria dos pontos concentra-se na faixa de </w:t>
      </w:r>
      <w:r>
        <w:rPr>
          <w:b/>
        </w:rPr>
        <w:t>9.400 a 9.700 kcal/m³</w:t>
      </w:r>
      <w:r>
        <w:t xml:space="preserve"> (tons de amarelo e verde), representando o perfil típico do gás transportado.</w:t>
      </w:r>
    </w:p>
    <w:p>
      <w:pPr>
        <w:pStyle w:val="ListBullet"/>
      </w:pPr>
      <w:r>
        <w:t xml:space="preserve">  Identifica-se um </w:t>
      </w:r>
      <w:r>
        <w:rPr>
          <w:i/>
        </w:rPr>
        <w:t>outlier</w:t>
      </w:r>
      <w:r>
        <w:t xml:space="preserve"> pontual na região inferior da nuvem de pontos (em tons avermelhados), onde um volume próximo a </w:t>
      </w:r>
      <m:oMath>
        <m:r>
          <m:t>1.080×</m:t>
        </m:r>
        <m:sSup>
          <m:e>
            <m:r>
              <m:t>10</m:t>
            </m:r>
          </m:e>
          <m:sup>
            <m:r>
              <m:t>3</m:t>
            </m:r>
          </m:sup>
        </m:sSup>
        <m:sSup>
          <m:e>
            <m:r>
              <m:rPr>
                <m:nor/>
              </m:rPr>
              <m:t> Nm</m:t>
            </m:r>
          </m:e>
          <m:sup>
            <m:r>
              <m:t>3</m:t>
            </m:r>
          </m:sup>
        </m:sSup>
        <m:r>
          <m:t>/</m:t>
        </m:r>
        <m:r>
          <m:rPr>
            <m:nor/>
          </m:rPr>
          <m:t>d</m:t>
        </m:r>
      </m:oMath>
      <w:r>
        <w:t xml:space="preserve"> resultou em uma energia menor do que a tendência linear previa (</w:t>
      </w:r>
      <m:oMath>
        <m:r>
          <m:t>≈10.000</m:t>
        </m:r>
        <m:r>
          <m:rPr>
            <m:nor/>
          </m:rPr>
          <m:t> Gcal/d</m:t>
        </m:r>
      </m:oMath>
      <w:r>
        <w:t xml:space="preserve">), devido a uma queda momentânea do </w:t>
      </w:r>
      <w:r>
        <w:rPr>
          <w:b/>
        </w:rPr>
        <w:t>PCS</w:t>
      </w:r>
      <w:r>
        <w:t xml:space="preserve"> para valores próximos a </w:t>
      </w:r>
      <w:r>
        <w:rPr>
          <w:b/>
        </w:rPr>
        <w:t>9.200 kcal/m³</w:t>
      </w:r>
      <w:r>
        <w:t>.</w:t>
      </w:r>
    </w:p>
    <w:p>
      <w:r>
        <w:t>Esta dispersão é tecnicamente esperada, pois o cálculo de energia é diretamente proporcional à qualidade físico-química do energético, e o gráfico demonstra que o sistema de medição é sensível o suficiente para capturar e processar corretamente essas variações de composição do gás natural.</w:t>
      </w:r>
    </w:p>
    <w:p>
      <w:pPr>
        <w:pStyle w:val="Heading2"/>
      </w:pPr>
      <w:r>
        <w:t>Parecer Regulatório</w:t>
      </w:r>
    </w:p>
    <w:p>
      <w:r>
        <w:t xml:space="preserve">Após a análise técnica exaustiva dos dados de medição, cálculos de conversão e registros de energia do período de abril a setembro de 2025, este auditor conclui que as condições de operação e o processamento de energia do distrito de distribuição são classificados como </w:t>
      </w:r>
      <w:r>
        <w:rPr>
          <w:b/>
        </w:rPr>
        <w:t>NORMAIS</w:t>
      </w:r>
      <w:r>
        <w:t>.</w:t>
      </w:r>
    </w:p>
    <w:p>
      <w:r>
        <w:t>A conformidade fundamenta-se nos seguintes pontos técnicos:</w:t>
      </w:r>
    </w:p>
    <w:p>
      <w:pPr>
        <w:pStyle w:val="ListNumber"/>
      </w:pPr>
      <w:r>
        <w:rPr>
          <w:b/>
        </w:rPr>
        <w:t>Exatidão no Processamento:</w:t>
      </w:r>
      <w:r>
        <w:t xml:space="preserve"> O erro de </w:t>
      </w:r>
      <m:oMath>
        <m:r>
          <m:t>0,00%</m:t>
        </m:r>
      </m:oMath>
      <w:r>
        <w:t xml:space="preserve"> na validação de cálculo de energia indica que a aplicação da norma </w:t>
      </w:r>
      <w:r>
        <w:rPr>
          <w:b/>
        </w:rPr>
        <w:t>ISO 6976</w:t>
      </w:r>
      <w:r>
        <w:t xml:space="preserve"> e das equações de estado para o </w:t>
      </w:r>
      <w:r>
        <w:rPr>
          <w:b/>
        </w:rPr>
        <w:t>fator de compressibilidade (Z)</w:t>
      </w:r>
      <w:r>
        <w:t xml:space="preserve"> está rigorosamente parametrizada.</w:t>
      </w:r>
    </w:p>
    <w:p>
      <w:pPr>
        <w:pStyle w:val="ListNumber"/>
      </w:pPr>
      <w:r>
        <w:rPr>
          <w:b/>
        </w:rPr>
        <w:t>Consistência entre Agentes:</w:t>
      </w:r>
      <w:r>
        <w:t xml:space="preserve"> As diferenças diárias entre Concessionária e Transportadora situam-se em uma banda de erro aleatório compatível com sistemas de alta precisão, não havendo indícios de viés sistemático ou perdas não técnicas.</w:t>
      </w:r>
    </w:p>
    <w:p>
      <w:pPr>
        <w:pStyle w:val="ListNumber"/>
      </w:pPr>
      <w:r>
        <w:rPr>
          <w:b/>
        </w:rPr>
        <w:t>Integridade Analítica:</w:t>
      </w:r>
      <w:r>
        <w:t xml:space="preserve"> A resposta do sistema às variações de </w:t>
      </w:r>
      <w:r>
        <w:rPr>
          <w:b/>
        </w:rPr>
        <w:t>PCS</w:t>
      </w:r>
      <w:r>
        <w:t xml:space="preserve"> (entre </w:t>
      </w:r>
      <m:oMath>
        <m:r>
          <m:t>9.200</m:t>
        </m:r>
      </m:oMath>
      <w:r>
        <w:t xml:space="preserve"> e </w:t>
      </w:r>
      <m:oMath>
        <m:r>
          <m:t>9.700</m:t>
        </m:r>
      </m:oMath>
      <w:r>
        <w:t xml:space="preserve"> kcal/m³) demonstra que o cromatógrafo em linha e os computadores de vazão operam com a dinâmica necessária para garantir a equidade comercial.</w:t>
      </w:r>
    </w:p>
    <w:p>
      <w:r>
        <w:rPr>
          <w:b/>
        </w:rPr>
        <w:t>Ações Recomendadas:</w:t>
      </w:r>
    </w:p>
    <w:p>
      <w:pPr>
        <w:pStyle w:val="ListBullet"/>
      </w:pPr>
      <w:r>
        <w:t xml:space="preserve">  Manter a periodicidade das calibrações rastreáveis dos transmissores de pressão e temperatura, garantindo que a </w:t>
      </w:r>
      <w:r>
        <w:rPr>
          <w:b/>
        </w:rPr>
        <w:t>incerteza expandida</w:t>
      </w:r>
      <w:r>
        <w:t xml:space="preserve"> combinada permaneça abaixo dos limites normativos.</w:t>
      </w:r>
    </w:p>
    <w:p>
      <w:pPr>
        <w:pStyle w:val="ListBullet"/>
      </w:pPr>
      <w:r>
        <w:t xml:space="preserve">  Monitorar com maior rigor os episódios de queda de demanda identificados (como o ocorrido em agosto de 2025), visando assegurar que o </w:t>
      </w:r>
      <w:r>
        <w:rPr>
          <w:i/>
        </w:rPr>
        <w:t>turndown ratio</w:t>
      </w:r>
      <w:r>
        <w:t xml:space="preserve"> do elemento primário de vazão não opere abaixo do limite inferior de linearidade durante tais eventos.</w:t>
      </w:r>
    </w:p>
    <w:p>
      <w:pPr>
        <w:pStyle w:val="ListBullet"/>
      </w:pPr>
      <w:r>
        <w:t xml:space="preserve">  Realizar uma auditoria de campo específica nos certificados de gás padrão utilizados para a calibração dos cromatógrafos, visando manter a </w:t>
      </w:r>
      <w:r>
        <w:rPr>
          <w:b/>
        </w:rPr>
        <w:t>rastreabilidade metrológica</w:t>
      </w:r>
      <w:r>
        <w:t xml:space="preserve"> das frações molares que compõem o cálculo do PCS.</w:t>
      </w:r>
    </w:p>
    <w:p>
      <w:r>
        <w:br w:type="page"/>
      </w:r>
    </w:p>
    <w:p>
      <w:pPr>
        <w:pStyle w:val="Heading1"/>
      </w:pPr>
      <w:r>
        <w:t>5. Perfis de Consumo dos Clientes</w:t>
      </w:r>
    </w:p>
    <w:p>
      <w:r>
        <w:t xml:space="preserve">A caracterização do perfil de consumo dos ativos de um distrito de distribuição é etapa fundamental para a garantia da integridade metrológica e da justiça comercial no mercado de gás natural. Este capítulo analisa a aderência dos sistemas de medição aos regimes de escoamento observados entre abril e setembro de 2025, avaliando se os parâmetros termodinâmicos de pressão e temperatura, bem como a dinâmica de vazão, permanecem dentro dos limites de operação nominal e de calibração dos instrumentos. A análise baseia-se na premissa de que a exatidão na apropriação dos volumes, expressos em </w:t>
      </w:r>
      <m:oMath>
        <m:r>
          <m:t>N</m:t>
        </m:r>
        <m:sSup>
          <m:e>
            <m:r>
              <m:t>m</m:t>
            </m:r>
          </m:e>
          <m:sup>
            <m:r>
              <m:t>3</m:t>
            </m:r>
          </m:sup>
        </m:sSup>
      </m:oMath>
      <w:r>
        <w:t xml:space="preserve">, depende diretamente da estabilidade do </w:t>
      </w:r>
      <w:r>
        <w:rPr>
          <w:b/>
        </w:rPr>
        <w:t>Fator de Carga (FC)</w:t>
      </w:r>
      <w:r>
        <w:t xml:space="preserve"> e da correta aplicação do </w:t>
      </w:r>
      <w:r>
        <w:rPr>
          <w:b/>
        </w:rPr>
        <w:t>Fator de Correção de Volume (C)</w:t>
      </w:r>
      <w:r>
        <w:t>.</w:t>
      </w:r>
    </w:p>
    <w:p>
      <w:r>
        <w:t xml:space="preserve">Os achados desta auditoria indicam um cenário de alta concentração volumétrica, onde apenas duas empresas respondem por mais de </w:t>
      </w:r>
      <w:r>
        <w:rPr>
          <w:b/>
        </w:rPr>
        <w:t>80%</w:t>
      </w:r>
      <w:r>
        <w:t xml:space="preserve"> da movimentação total de </w:t>
      </w:r>
      <w:r>
        <w:rPr>
          <w:b/>
        </w:rPr>
        <w:t>180,91 Mm³</w:t>
      </w:r>
      <w:r>
        <w:t xml:space="preserve">. Embora o sistema apresente robustez na maioria dos pontos de entrega, foram identificadas vulnerabilidades críticas relacionadas à continuidade dos registros e ao regime de operação de medidores em baixas vazões. A intermitência de fluxo em determinados clientes e a ausência massiva de dados horários em ativos específicos comprometem a aplicação do método </w:t>
      </w:r>
      <w:r>
        <w:rPr>
          <w:b/>
        </w:rPr>
        <w:t>RSS</w:t>
      </w:r>
      <w:r>
        <w:t xml:space="preserve"> para o cálculo da </w:t>
      </w:r>
      <w:r>
        <w:rPr>
          <w:b/>
        </w:rPr>
        <w:t>incerteza expandida</w:t>
      </w:r>
      <w:r>
        <w:t>, elevando o risco residual de erros sistemáticos no balanço energético do distrito.</w:t>
      </w:r>
    </w:p>
    <w:p>
      <w:pPr>
        <w:spacing w:after="80"/>
      </w:pPr>
      <w:r>
        <w:rPr>
          <w:b/>
          <w:i/>
          <w:color w:val="1A237E"/>
          <w:sz w:val="20"/>
        </w:rPr>
        <w:t>Tabela 5.1: Resumo dos Clientes do Distrito</w:t>
      </w:r>
    </w:p>
    <w:tbl>
      <w:tblPr>
        <w:tblStyle w:val="TableGrid"/>
        <w:tblW w:type="auto" w:w="0"/>
        <w:jc w:val="center"/>
        <w:tblLook w:firstColumn="1" w:firstRow="1" w:lastColumn="0" w:lastRow="0" w:noHBand="0" w:noVBand="1" w:val="04A0"/>
      </w:tblPr>
      <w:tblGrid>
        <w:gridCol w:w="1824"/>
        <w:gridCol w:w="1824"/>
        <w:gridCol w:w="1824"/>
        <w:gridCol w:w="1824"/>
        <w:gridCol w:w="1824"/>
      </w:tblGrid>
      <w:tr>
        <w:tc>
          <w:tcPr>
            <w:tcW w:type="dxa" w:w="1824"/>
            <w:shd w:fill="1A237E"/>
          </w:tcPr>
          <w:p>
            <w:pPr>
              <w:jc w:val="center"/>
            </w:pPr>
            <w:r>
              <w:rPr>
                <w:b/>
                <w:color w:val="FFFFFF"/>
                <w:sz w:val="18"/>
              </w:rPr>
              <w:t>Cliente</w:t>
            </w:r>
          </w:p>
        </w:tc>
        <w:tc>
          <w:tcPr>
            <w:tcW w:type="dxa" w:w="1824"/>
            <w:shd w:fill="1A237E"/>
          </w:tcPr>
          <w:p>
            <w:pPr>
              <w:jc w:val="center"/>
            </w:pPr>
            <w:r>
              <w:rPr>
                <w:b/>
                <w:color w:val="FFFFFF"/>
                <w:sz w:val="18"/>
              </w:rPr>
              <w:t>Vol. Total (Mm³)</w:t>
            </w:r>
          </w:p>
        </w:tc>
        <w:tc>
          <w:tcPr>
            <w:tcW w:type="dxa" w:w="1824"/>
            <w:shd w:fill="1A237E"/>
          </w:tcPr>
          <w:p>
            <w:pPr>
              <w:jc w:val="center"/>
            </w:pPr>
            <w:r>
              <w:rPr>
                <w:b/>
                <w:color w:val="FFFFFF"/>
                <w:sz w:val="18"/>
              </w:rPr>
              <w:t>Média (Nm³/h)</w:t>
            </w:r>
          </w:p>
        </w:tc>
        <w:tc>
          <w:tcPr>
            <w:tcW w:type="dxa" w:w="1824"/>
            <w:shd w:fill="1A237E"/>
          </w:tcPr>
          <w:p>
            <w:pPr>
              <w:jc w:val="center"/>
            </w:pPr>
            <w:r>
              <w:rPr>
                <w:b/>
                <w:color w:val="FFFFFF"/>
                <w:sz w:val="18"/>
              </w:rPr>
              <w:t>Fator Carga</w:t>
            </w:r>
          </w:p>
        </w:tc>
        <w:tc>
          <w:tcPr>
            <w:tcW w:type="dxa" w:w="1824"/>
            <w:shd w:fill="1A237E"/>
          </w:tcPr>
          <w:p>
            <w:pPr>
              <w:jc w:val="center"/>
            </w:pPr>
            <w:r>
              <w:rPr>
                <w:b/>
                <w:color w:val="FFFFFF"/>
                <w:sz w:val="18"/>
              </w:rPr>
              <w:t>Participação (%)</w:t>
            </w:r>
          </w:p>
        </w:tc>
      </w:tr>
      <w:tr>
        <w:tc>
          <w:tcPr>
            <w:tcW w:type="dxa" w:w="1824"/>
            <w:shd w:fill="F5F5F5"/>
          </w:tcPr>
          <w:p>
            <w:r>
              <w:rPr>
                <w:sz w:val="18"/>
              </w:rPr>
              <w:t>Empresa A</w:t>
            </w:r>
          </w:p>
        </w:tc>
        <w:tc>
          <w:tcPr>
            <w:tcW w:type="dxa" w:w="1824"/>
            <w:shd w:fill="F5F5F5"/>
          </w:tcPr>
          <w:p>
            <w:r>
              <w:rPr>
                <w:sz w:val="18"/>
              </w:rPr>
              <w:t>104.10</w:t>
            </w:r>
          </w:p>
        </w:tc>
        <w:tc>
          <w:tcPr>
            <w:tcW w:type="dxa" w:w="1824"/>
            <w:shd w:fill="F5F5F5"/>
          </w:tcPr>
          <w:p>
            <w:r>
              <w:rPr>
                <w:sz w:val="18"/>
              </w:rPr>
              <w:t>23,965</w:t>
            </w:r>
          </w:p>
        </w:tc>
        <w:tc>
          <w:tcPr>
            <w:tcW w:type="dxa" w:w="1824"/>
            <w:shd w:fill="F5F5F5"/>
          </w:tcPr>
          <w:p>
            <w:r>
              <w:rPr>
                <w:sz w:val="18"/>
              </w:rPr>
              <w:t>0.767</w:t>
            </w:r>
          </w:p>
        </w:tc>
        <w:tc>
          <w:tcPr>
            <w:tcW w:type="dxa" w:w="1824"/>
            <w:shd w:fill="F5F5F5"/>
          </w:tcPr>
          <w:p>
            <w:r>
              <w:rPr>
                <w:sz w:val="18"/>
              </w:rPr>
              <w:t>57.5%</w:t>
            </w:r>
          </w:p>
        </w:tc>
      </w:tr>
      <w:tr>
        <w:tc>
          <w:tcPr>
            <w:tcW w:type="dxa" w:w="1824"/>
          </w:tcPr>
          <w:p>
            <w:r>
              <w:rPr>
                <w:sz w:val="18"/>
              </w:rPr>
              <w:t>Empresa B</w:t>
            </w:r>
          </w:p>
        </w:tc>
        <w:tc>
          <w:tcPr>
            <w:tcW w:type="dxa" w:w="1824"/>
          </w:tcPr>
          <w:p>
            <w:r>
              <w:rPr>
                <w:sz w:val="18"/>
              </w:rPr>
              <w:t>43.66</w:t>
            </w:r>
          </w:p>
        </w:tc>
        <w:tc>
          <w:tcPr>
            <w:tcW w:type="dxa" w:w="1824"/>
          </w:tcPr>
          <w:p>
            <w:r>
              <w:rPr>
                <w:sz w:val="18"/>
              </w:rPr>
              <w:t>10,052</w:t>
            </w:r>
          </w:p>
        </w:tc>
        <w:tc>
          <w:tcPr>
            <w:tcW w:type="dxa" w:w="1824"/>
          </w:tcPr>
          <w:p>
            <w:r>
              <w:rPr>
                <w:sz w:val="18"/>
              </w:rPr>
              <w:t>0.587</w:t>
            </w:r>
          </w:p>
        </w:tc>
        <w:tc>
          <w:tcPr>
            <w:tcW w:type="dxa" w:w="1824"/>
          </w:tcPr>
          <w:p>
            <w:r>
              <w:rPr>
                <w:sz w:val="18"/>
              </w:rPr>
              <w:t>24.1%</w:t>
            </w:r>
          </w:p>
        </w:tc>
      </w:tr>
      <w:tr>
        <w:tc>
          <w:tcPr>
            <w:tcW w:type="dxa" w:w="1824"/>
            <w:shd w:fill="F5F5F5"/>
          </w:tcPr>
          <w:p>
            <w:r>
              <w:rPr>
                <w:sz w:val="18"/>
              </w:rPr>
              <w:t>Empresa E</w:t>
            </w:r>
          </w:p>
        </w:tc>
        <w:tc>
          <w:tcPr>
            <w:tcW w:type="dxa" w:w="1824"/>
            <w:shd w:fill="F5F5F5"/>
          </w:tcPr>
          <w:p>
            <w:r>
              <w:rPr>
                <w:sz w:val="18"/>
              </w:rPr>
              <w:t>10.18</w:t>
            </w:r>
          </w:p>
        </w:tc>
        <w:tc>
          <w:tcPr>
            <w:tcW w:type="dxa" w:w="1824"/>
            <w:shd w:fill="F5F5F5"/>
          </w:tcPr>
          <w:p>
            <w:r>
              <w:rPr>
                <w:sz w:val="18"/>
              </w:rPr>
              <w:t>2,345</w:t>
            </w:r>
          </w:p>
        </w:tc>
        <w:tc>
          <w:tcPr>
            <w:tcW w:type="dxa" w:w="1824"/>
            <w:shd w:fill="F5F5F5"/>
          </w:tcPr>
          <w:p>
            <w:r>
              <w:rPr>
                <w:sz w:val="18"/>
              </w:rPr>
              <w:t>0.552</w:t>
            </w:r>
          </w:p>
        </w:tc>
        <w:tc>
          <w:tcPr>
            <w:tcW w:type="dxa" w:w="1824"/>
            <w:shd w:fill="F5F5F5"/>
          </w:tcPr>
          <w:p>
            <w:r>
              <w:rPr>
                <w:sz w:val="18"/>
              </w:rPr>
              <w:t>5.6%</w:t>
            </w:r>
          </w:p>
        </w:tc>
      </w:tr>
      <w:tr>
        <w:tc>
          <w:tcPr>
            <w:tcW w:type="dxa" w:w="1824"/>
          </w:tcPr>
          <w:p>
            <w:r>
              <w:rPr>
                <w:sz w:val="18"/>
              </w:rPr>
              <w:t>Empresa G</w:t>
            </w:r>
          </w:p>
        </w:tc>
        <w:tc>
          <w:tcPr>
            <w:tcW w:type="dxa" w:w="1824"/>
          </w:tcPr>
          <w:p>
            <w:r>
              <w:rPr>
                <w:sz w:val="18"/>
              </w:rPr>
              <w:t>10.08</w:t>
            </w:r>
          </w:p>
        </w:tc>
        <w:tc>
          <w:tcPr>
            <w:tcW w:type="dxa" w:w="1824"/>
          </w:tcPr>
          <w:p>
            <w:r>
              <w:rPr>
                <w:sz w:val="18"/>
              </w:rPr>
              <w:t>2,321</w:t>
            </w:r>
          </w:p>
        </w:tc>
        <w:tc>
          <w:tcPr>
            <w:tcW w:type="dxa" w:w="1824"/>
          </w:tcPr>
          <w:p>
            <w:r>
              <w:rPr>
                <w:sz w:val="18"/>
              </w:rPr>
              <w:t>0.328</w:t>
            </w:r>
          </w:p>
        </w:tc>
        <w:tc>
          <w:tcPr>
            <w:tcW w:type="dxa" w:w="1824"/>
          </w:tcPr>
          <w:p>
            <w:r>
              <w:rPr>
                <w:sz w:val="18"/>
              </w:rPr>
              <w:t>5.6%</w:t>
            </w:r>
          </w:p>
        </w:tc>
      </w:tr>
      <w:tr>
        <w:tc>
          <w:tcPr>
            <w:tcW w:type="dxa" w:w="1824"/>
            <w:shd w:fill="F5F5F5"/>
          </w:tcPr>
          <w:p>
            <w:r>
              <w:rPr>
                <w:sz w:val="18"/>
              </w:rPr>
              <w:t>Empresa C</w:t>
            </w:r>
          </w:p>
        </w:tc>
        <w:tc>
          <w:tcPr>
            <w:tcW w:type="dxa" w:w="1824"/>
            <w:shd w:fill="F5F5F5"/>
          </w:tcPr>
          <w:p>
            <w:r>
              <w:rPr>
                <w:sz w:val="18"/>
              </w:rPr>
              <w:t>6.84</w:t>
            </w:r>
          </w:p>
        </w:tc>
        <w:tc>
          <w:tcPr>
            <w:tcW w:type="dxa" w:w="1824"/>
            <w:shd w:fill="F5F5F5"/>
          </w:tcPr>
          <w:p>
            <w:r>
              <w:rPr>
                <w:sz w:val="18"/>
              </w:rPr>
              <w:t>1,567</w:t>
            </w:r>
          </w:p>
        </w:tc>
        <w:tc>
          <w:tcPr>
            <w:tcW w:type="dxa" w:w="1824"/>
            <w:shd w:fill="F5F5F5"/>
          </w:tcPr>
          <w:p>
            <w:r>
              <w:rPr>
                <w:sz w:val="18"/>
              </w:rPr>
              <w:t>0.316</w:t>
            </w:r>
          </w:p>
        </w:tc>
        <w:tc>
          <w:tcPr>
            <w:tcW w:type="dxa" w:w="1824"/>
            <w:shd w:fill="F5F5F5"/>
          </w:tcPr>
          <w:p>
            <w:r>
              <w:rPr>
                <w:sz w:val="18"/>
              </w:rPr>
              <w:t>3.8%</w:t>
            </w:r>
          </w:p>
        </w:tc>
      </w:tr>
      <w:tr>
        <w:tc>
          <w:tcPr>
            <w:tcW w:type="dxa" w:w="1824"/>
          </w:tcPr>
          <w:p>
            <w:r>
              <w:rPr>
                <w:sz w:val="18"/>
              </w:rPr>
              <w:t>Empresa F</w:t>
            </w:r>
          </w:p>
        </w:tc>
        <w:tc>
          <w:tcPr>
            <w:tcW w:type="dxa" w:w="1824"/>
          </w:tcPr>
          <w:p>
            <w:r>
              <w:rPr>
                <w:sz w:val="18"/>
              </w:rPr>
              <w:t>5.96</w:t>
            </w:r>
          </w:p>
        </w:tc>
        <w:tc>
          <w:tcPr>
            <w:tcW w:type="dxa" w:w="1824"/>
          </w:tcPr>
          <w:p>
            <w:r>
              <w:rPr>
                <w:sz w:val="18"/>
              </w:rPr>
              <w:t>1,372</w:t>
            </w:r>
          </w:p>
        </w:tc>
        <w:tc>
          <w:tcPr>
            <w:tcW w:type="dxa" w:w="1824"/>
          </w:tcPr>
          <w:p>
            <w:r>
              <w:rPr>
                <w:sz w:val="18"/>
              </w:rPr>
              <w:t>0.391</w:t>
            </w:r>
          </w:p>
        </w:tc>
        <w:tc>
          <w:tcPr>
            <w:tcW w:type="dxa" w:w="1824"/>
          </w:tcPr>
          <w:p>
            <w:r>
              <w:rPr>
                <w:sz w:val="18"/>
              </w:rPr>
              <w:t>3.3%</w:t>
            </w:r>
          </w:p>
        </w:tc>
      </w:tr>
      <w:tr>
        <w:tc>
          <w:tcPr>
            <w:tcW w:type="dxa" w:w="1824"/>
            <w:shd w:fill="F5F5F5"/>
          </w:tcPr>
          <w:p>
            <w:r>
              <w:rPr>
                <w:sz w:val="18"/>
              </w:rPr>
              <w:t>Empresa D</w:t>
            </w:r>
          </w:p>
        </w:tc>
        <w:tc>
          <w:tcPr>
            <w:tcW w:type="dxa" w:w="1824"/>
            <w:shd w:fill="F5F5F5"/>
          </w:tcPr>
          <w:p>
            <w:r>
              <w:rPr>
                <w:sz w:val="18"/>
              </w:rPr>
              <w:t>0.09</w:t>
            </w:r>
          </w:p>
        </w:tc>
        <w:tc>
          <w:tcPr>
            <w:tcW w:type="dxa" w:w="1824"/>
            <w:shd w:fill="F5F5F5"/>
          </w:tcPr>
          <w:p>
            <w:r>
              <w:rPr>
                <w:sz w:val="18"/>
              </w:rPr>
              <w:t>47</w:t>
            </w:r>
          </w:p>
        </w:tc>
        <w:tc>
          <w:tcPr>
            <w:tcW w:type="dxa" w:w="1824"/>
            <w:shd w:fill="F5F5F5"/>
          </w:tcPr>
          <w:p>
            <w:r>
              <w:rPr>
                <w:sz w:val="18"/>
              </w:rPr>
              <w:t>0.253</w:t>
            </w:r>
          </w:p>
        </w:tc>
        <w:tc>
          <w:tcPr>
            <w:tcW w:type="dxa" w:w="1824"/>
            <w:shd w:fill="F5F5F5"/>
          </w:tcPr>
          <w:p>
            <w:r>
              <w:rPr>
                <w:sz w:val="18"/>
              </w:rPr>
              <w:t>0.1%</w:t>
            </w:r>
          </w:p>
        </w:tc>
      </w:tr>
    </w:tbl>
    <w:p/>
    <w:p>
      <w:pPr>
        <w:pStyle w:val="Heading2"/>
      </w:pPr>
      <w:r>
        <w:t>Fundamentação Teórica</w:t>
      </w:r>
    </w:p>
    <w:p>
      <w:r>
        <w:t>A análise técnica dos perfis de consumo e da adequabilidade dos sistemas de medição fundamenta-se nos princípios da metrologia legal e da termodinâmica dos gases. Para assegurar a integridade da apropriação de volumes em um distrito de distribuição, é imperativo que o regime de operação dos ativos esteja alinhado com as especificações de projeto e as faixas de calibração dos instrumentos.</w:t>
      </w:r>
    </w:p>
    <w:p>
      <w:pPr>
        <w:pStyle w:val="Heading4"/>
      </w:pPr>
      <w:r>
        <w:t>5.1.1. Correção de Volume e Condições de Referência</w:t>
      </w:r>
    </w:p>
    <w:p>
      <w:r>
        <w:t xml:space="preserve">O gás natural é um fluido compressível, o que exige a conversão do volume medido nas condições de operação (condição de linha) para as condições de referência estabelecidas (condição base), tipicamente definidas a </w:t>
      </w:r>
      <m:oMath>
        <m:r>
          <m:t>20,00</m:t>
        </m:r>
      </m:oMath>
      <w:r>
        <w:t xml:space="preserve"> °C (</w:t>
      </w:r>
      <m:oMath>
        <m:r>
          <m:t>293,15</m:t>
        </m:r>
      </m:oMath>
      <w:r>
        <w:t xml:space="preserve"> K) e </w:t>
      </w:r>
      <m:oMath>
        <m:r>
          <m:t>1,01325</m:t>
        </m:r>
      </m:oMath>
      <w:r>
        <w:t xml:space="preserve"> bar (</w:t>
      </w:r>
      <m:oMath>
        <m:r>
          <m:t>101.325</m:t>
        </m:r>
      </m:oMath>
      <w:r>
        <w:t xml:space="preserve"> Pa). Esta conversão é realizada por meio do </w:t>
      </w:r>
      <w:r>
        <w:rPr>
          <w:b/>
        </w:rPr>
        <w:t>Fator de Correção de Volume (C)</w:t>
      </w:r>
      <w:r>
        <w:t>, processado em corretores de volume (PTZ) ou computadores de vazão, conforme a equação fundamental:</w:t>
      </w:r>
    </w:p>
    <w:p>
      <w:pPr>
        <w:jc w:val="center"/>
      </w:pPr>
      <m:oMath>
        <m:sSub>
          <m:e>
            <m:r>
              <m:t>V</m:t>
            </m:r>
          </m:e>
          <m:sub>
            <m:r>
              <m:t>b</m:t>
            </m:r>
          </m:sub>
        </m:sSub>
        <m:r>
          <m:t>=</m:t>
        </m:r>
        <m:sSub>
          <m:e>
            <m:r>
              <m:t>V</m:t>
            </m:r>
          </m:e>
          <m:sub>
            <m:r>
              <m:t>f</m:t>
            </m:r>
          </m:sub>
        </m:sSub>
        <m:r>
          <m:t>·</m:t>
        </m:r>
        <m:f>
          <m:fPr>
            <m:type m:val="bar"/>
          </m:fPr>
          <m:num>
            <m:sSub>
              <m:e>
                <m:r>
                  <m:t>P</m:t>
                </m:r>
              </m:e>
              <m:sub>
                <m:r>
                  <m:t>abs</m:t>
                </m:r>
              </m:sub>
            </m:sSub>
          </m:num>
          <m:den>
            <m:sSub>
              <m:e>
                <m:r>
                  <m:t>P</m:t>
                </m:r>
              </m:e>
              <m:sub>
                <m:r>
                  <m:t>std</m:t>
                </m:r>
              </m:sub>
            </m:sSub>
          </m:den>
        </m:f>
        <m:r>
          <m:t>·</m:t>
        </m:r>
        <m:f>
          <m:fPr>
            <m:type m:val="bar"/>
          </m:fPr>
          <m:num>
            <m:sSub>
              <m:e>
                <m:r>
                  <m:t>T</m:t>
                </m:r>
              </m:e>
              <m:sub>
                <m:r>
                  <m:t>std</m:t>
                </m:r>
              </m:sub>
            </m:sSub>
          </m:num>
          <m:den>
            <m:sSub>
              <m:e>
                <m:r>
                  <m:t>T</m:t>
                </m:r>
              </m:e>
              <m:sub>
                <m:r>
                  <m:t>abs</m:t>
                </m:r>
              </m:sub>
            </m:sSub>
          </m:den>
        </m:f>
        <m:r>
          <m:t>·</m:t>
        </m:r>
        <m:f>
          <m:fPr>
            <m:type m:val="bar"/>
          </m:fPr>
          <m:num>
            <m:r>
              <m:t>1</m:t>
            </m:r>
          </m:num>
          <m:den>
            <m:r>
              <m:t>Z</m:t>
            </m:r>
          </m:den>
        </m:f>
      </m:oMath>
    </w:p>
    <w:p>
      <w:r>
        <w:t>Onde:</w:t>
      </w:r>
    </w:p>
    <w:p>
      <w:pPr>
        <w:pStyle w:val="ListBullet"/>
      </w:pPr>
      <w:r>
        <w:t xml:space="preserve">  </w:t>
      </w:r>
      <m:oMath>
        <m:sSub>
          <m:e>
            <m:r>
              <m:t>V</m:t>
            </m:r>
          </m:e>
          <m:sub>
            <m:r>
              <m:t>b</m:t>
            </m:r>
          </m:sub>
        </m:sSub>
      </m:oMath>
      <w:r>
        <w:t>: Volume na condição de base (</w:t>
      </w:r>
      <m:oMath>
        <m:r>
          <m:t>N</m:t>
        </m:r>
        <m:sSup>
          <m:e>
            <m:r>
              <m:t>m</m:t>
            </m:r>
          </m:e>
          <m:sup>
            <m:r>
              <m:t>3</m:t>
            </m:r>
          </m:sup>
        </m:sSup>
      </m:oMath>
      <w:r>
        <w:t>);</w:t>
      </w:r>
    </w:p>
    <w:p>
      <w:pPr>
        <w:pStyle w:val="ListBullet"/>
      </w:pPr>
      <w:r>
        <w:t xml:space="preserve">  </w:t>
      </w:r>
      <m:oMath>
        <m:sSub>
          <m:e>
            <m:r>
              <m:t>V</m:t>
            </m:r>
          </m:e>
          <m:sub>
            <m:r>
              <m:t>f</m:t>
            </m:r>
          </m:sub>
        </m:sSub>
      </m:oMath>
      <w:r>
        <w:t>: Volume na condição de fluxo (</w:t>
      </w:r>
      <m:oMath>
        <m:sSup>
          <m:e>
            <m:r>
              <m:t>m</m:t>
            </m:r>
          </m:e>
          <m:sup>
            <m:r>
              <m:t>3</m:t>
            </m:r>
          </m:sup>
        </m:sSup>
      </m:oMath>
      <w:r>
        <w:t>);</w:t>
      </w:r>
    </w:p>
    <w:p>
      <w:pPr>
        <w:pStyle w:val="ListBullet"/>
      </w:pPr>
      <w:r>
        <w:t xml:space="preserve">  </w:t>
      </w:r>
      <m:oMath>
        <m:sSub>
          <m:e>
            <m:r>
              <m:t>P</m:t>
            </m:r>
          </m:e>
          <m:sub>
            <m:r>
              <m:t>abs</m:t>
            </m:r>
          </m:sub>
        </m:sSub>
      </m:oMath>
      <w:r>
        <w:t>: Pressão absoluta de operação (bar);</w:t>
      </w:r>
    </w:p>
    <w:p>
      <w:pPr>
        <w:pStyle w:val="ListBullet"/>
      </w:pPr>
      <w:r>
        <w:t xml:space="preserve">  </w:t>
      </w:r>
      <m:oMath>
        <m:sSub>
          <m:e>
            <m:r>
              <m:t>P</m:t>
            </m:r>
          </m:e>
          <m:sub>
            <m:r>
              <m:t>std</m:t>
            </m:r>
          </m:sub>
        </m:sSub>
      </m:oMath>
      <w:r>
        <w:t>: Pressão padrão de referência (bar);</w:t>
      </w:r>
    </w:p>
    <w:p>
      <w:pPr>
        <w:pStyle w:val="ListBullet"/>
      </w:pPr>
      <w:r>
        <w:t xml:space="preserve">  </w:t>
      </w:r>
      <m:oMath>
        <m:sSub>
          <m:e>
            <m:r>
              <m:t>T</m:t>
            </m:r>
          </m:e>
          <m:sub>
            <m:r>
              <m:t>std</m:t>
            </m:r>
          </m:sub>
        </m:sSub>
      </m:oMath>
      <w:r>
        <w:t>: Temperatura absoluta de referência (K);</w:t>
      </w:r>
    </w:p>
    <w:p>
      <w:pPr>
        <w:pStyle w:val="ListBullet"/>
      </w:pPr>
      <w:r>
        <w:t xml:space="preserve">  </w:t>
      </w:r>
      <m:oMath>
        <m:sSub>
          <m:e>
            <m:r>
              <m:t>T</m:t>
            </m:r>
          </m:e>
          <m:sub>
            <m:r>
              <m:t>abs</m:t>
            </m:r>
          </m:sub>
        </m:sSub>
      </m:oMath>
      <w:r>
        <w:t>: Temperatura absoluta de operação (K);</w:t>
      </w:r>
    </w:p>
    <w:p>
      <w:pPr>
        <w:pStyle w:val="ListBullet"/>
      </w:pPr>
      <w:r>
        <w:t xml:space="preserve">  </w:t>
      </w:r>
      <m:oMath>
        <m:r>
          <m:t>Z</m:t>
        </m:r>
      </m:oMath>
      <w:r>
        <w:t>: Fator de compressibilidade do gás sob condições de operação.</w:t>
      </w:r>
    </w:p>
    <w:p>
      <w:r>
        <w:t xml:space="preserve">O </w:t>
      </w:r>
      <w:r>
        <w:rPr>
          <w:b/>
        </w:rPr>
        <w:t>Poder Calorífico Superior (PCS)</w:t>
      </w:r>
      <w:r>
        <w:t xml:space="preserve">, expresso em </w:t>
      </w:r>
      <m:oMath>
        <m:r>
          <m:t>kcal/</m:t>
        </m:r>
        <m:sSup>
          <m:e>
            <m:r>
              <m:t>m</m:t>
            </m:r>
          </m:e>
          <m:sup>
            <m:r>
              <m:t>3</m:t>
            </m:r>
          </m:sup>
        </m:sSup>
      </m:oMath>
      <w:r>
        <w:t>, é utilizado para converter o volume medido em energia, sendo um parâmetro crítico para a determinação do faturamento e para o balanço energético do sistema.</w:t>
      </w:r>
    </w:p>
    <w:p>
      <w:pPr>
        <w:pStyle w:val="Heading4"/>
      </w:pPr>
      <w:r>
        <w:t>5.1.2. Dinâmica de Vazão e Rangeabilidade</w:t>
      </w:r>
    </w:p>
    <w:p>
      <w:r>
        <w:t xml:space="preserve">A </w:t>
      </w:r>
      <w:r>
        <w:rPr>
          <w:b/>
        </w:rPr>
        <w:t>rangeabilidade</w:t>
      </w:r>
      <w:r>
        <w:t xml:space="preserve"> (ou </w:t>
      </w:r>
      <w:r>
        <w:rPr>
          <w:i/>
        </w:rPr>
        <w:t>turndown ratio</w:t>
      </w:r>
      <w:r>
        <w:t>) define a capacidade do medidor de operar dentro dos limites de erro máximo admissível (EMA). É expressa pela razão entre a vazão máxima (</w:t>
      </w:r>
      <m:oMath>
        <m:sSub>
          <m:e>
            <m:r>
              <m:t>Q</m:t>
            </m:r>
          </m:e>
          <m:sub>
            <m:r>
              <m:t>max</m:t>
            </m:r>
          </m:sub>
        </m:sSub>
      </m:oMath>
      <w:r>
        <w:t>) e a vazão mínima (</w:t>
      </w:r>
      <m:oMath>
        <m:sSub>
          <m:e>
            <m:r>
              <m:t>Q</m:t>
            </m:r>
          </m:e>
          <m:sub>
            <m:r>
              <m:t>min</m:t>
            </m:r>
          </m:sub>
        </m:sSub>
      </m:oMath>
      <w:r>
        <w:t>) especificadas pelo fabricante e validadas em calibração.</w:t>
      </w:r>
    </w:p>
    <w:p>
      <w:pPr>
        <w:jc w:val="center"/>
      </w:pPr>
      <m:oMath>
        <m:r>
          <m:t>R=</m:t>
        </m:r>
        <m:f>
          <m:fPr>
            <m:type m:val="bar"/>
          </m:fPr>
          <m:num>
            <m:sSub>
              <m:e>
                <m:r>
                  <m:t>Q</m:t>
                </m:r>
              </m:e>
              <m:sub>
                <m:r>
                  <m:t>max</m:t>
                </m:r>
              </m:sub>
            </m:sSub>
          </m:num>
          <m:den>
            <m:sSub>
              <m:e>
                <m:r>
                  <m:t>Q</m:t>
                </m:r>
              </m:e>
              <m:sub>
                <m:r>
                  <m:t>min</m:t>
                </m:r>
              </m:sub>
            </m:sSub>
          </m:den>
        </m:f>
      </m:oMath>
    </w:p>
    <w:p>
      <w:r>
        <w:t xml:space="preserve">A operação em vazões inferiores a </w:t>
      </w:r>
      <m:oMath>
        <m:sSub>
          <m:e>
            <m:r>
              <m:t>Q</m:t>
            </m:r>
          </m:e>
          <m:sub>
            <m:r>
              <m:t>min</m:t>
            </m:r>
          </m:sub>
        </m:sSub>
      </m:oMath>
      <w:r>
        <w:t xml:space="preserve"> compromete a </w:t>
      </w:r>
      <w:r>
        <w:rPr>
          <w:b/>
        </w:rPr>
        <w:t>rastreabilidade metrológica</w:t>
      </w:r>
      <w:r>
        <w:t xml:space="preserve">, pois os erros de medição tendem a crescer exponencialmente fora da zona linear do instrumento. Inversamente, a operação contínua acima de </w:t>
      </w:r>
      <m:oMath>
        <m:sSub>
          <m:e>
            <m:r>
              <m:t>Q</m:t>
            </m:r>
          </m:e>
          <m:sub>
            <m:r>
              <m:t>max</m:t>
            </m:r>
          </m:sub>
        </m:sSub>
      </m:oMath>
      <w:r>
        <w:t xml:space="preserve"> pode resultar em danos mecânicos prematuros, como o desgaste de mancais em medidores de turbina ou a fadiga de componentes em medidores de diafragma.</w:t>
      </w:r>
    </w:p>
    <w:p>
      <w:pPr>
        <w:pStyle w:val="Heading4"/>
      </w:pPr>
      <w:r>
        <w:t>5.1.3. Fator de Carga e Perfil de Demanda</w:t>
      </w:r>
    </w:p>
    <w:p>
      <w:r>
        <w:t xml:space="preserve">O </w:t>
      </w:r>
      <w:r>
        <w:rPr>
          <w:b/>
        </w:rPr>
        <w:t>Fator de Carga (FC)</w:t>
      </w:r>
      <w:r>
        <w:t xml:space="preserve"> é um indicador adimensional que relaciona o consumo médio de um período com a demanda máxima registrada. Ele permite avaliar a eficiência de utilização da infraestrutura instalada:</w:t>
      </w:r>
    </w:p>
    <w:p>
      <w:pPr>
        <w:jc w:val="center"/>
      </w:pPr>
      <m:oMath>
        <m:r>
          <m:t>FC=</m:t>
        </m:r>
        <m:f>
          <m:fPr>
            <m:type m:val="bar"/>
          </m:fPr>
          <m:num>
            <m:sSub>
              <m:e>
                <m:r>
                  <m:t>V</m:t>
                </m:r>
              </m:e>
              <m:sub>
                <m:r>
                  <m:t>total</m:t>
                </m:r>
              </m:sub>
            </m:sSub>
          </m:num>
          <m:den>
            <m:r>
              <m:t>Δt·</m:t>
            </m:r>
            <m:sSub>
              <m:e>
                <m:r>
                  <m:t>Q</m:t>
                </m:r>
              </m:e>
              <m:sub>
                <m:r>
                  <m:t>pico</m:t>
                </m:r>
              </m:sub>
            </m:sSub>
          </m:den>
        </m:f>
      </m:oMath>
    </w:p>
    <w:p>
      <w:r>
        <w:t>Onde:</w:t>
      </w:r>
    </w:p>
    <w:p>
      <w:pPr>
        <w:pStyle w:val="ListBullet"/>
      </w:pPr>
      <w:r>
        <w:t xml:space="preserve">  </w:t>
      </w:r>
      <m:oMath>
        <m:sSub>
          <m:e>
            <m:r>
              <m:t>V</m:t>
            </m:r>
          </m:e>
          <m:sub>
            <m:r>
              <m:t>total</m:t>
            </m:r>
          </m:sub>
        </m:sSub>
      </m:oMath>
      <w:r>
        <w:t>: Volume total consumido no intervalo (</w:t>
      </w:r>
      <m:oMath>
        <m:r>
          <m:t>N</m:t>
        </m:r>
        <m:sSup>
          <m:e>
            <m:r>
              <m:t>m</m:t>
            </m:r>
          </m:e>
          <m:sup>
            <m:r>
              <m:t>3</m:t>
            </m:r>
          </m:sup>
        </m:sSup>
      </m:oMath>
      <w:r>
        <w:t>);</w:t>
      </w:r>
    </w:p>
    <w:p>
      <w:pPr>
        <w:pStyle w:val="ListBullet"/>
      </w:pPr>
      <w:r>
        <w:t xml:space="preserve">  </w:t>
      </w:r>
      <m:oMath>
        <m:r>
          <m:t>Δt</m:t>
        </m:r>
      </m:oMath>
      <w:r>
        <w:t>: Tempo total do intervalo de análise (h);</w:t>
      </w:r>
    </w:p>
    <w:p>
      <w:pPr>
        <w:pStyle w:val="ListBullet"/>
      </w:pPr>
      <w:r>
        <w:t xml:space="preserve">  </w:t>
      </w:r>
      <m:oMath>
        <m:sSub>
          <m:e>
            <m:r>
              <m:t>Q</m:t>
            </m:r>
          </m:e>
          <m:sub>
            <m:r>
              <m:t>pico</m:t>
            </m:r>
          </m:sub>
        </m:sSub>
      </m:oMath>
      <w:r>
        <w:t>: Vazão máxima instantânea ou horária registrada (</w:t>
      </w:r>
      <m:oMath>
        <m:r>
          <m:t>N</m:t>
        </m:r>
        <m:sSup>
          <m:e>
            <m:r>
              <m:t>m</m:t>
            </m:r>
          </m:e>
          <m:sup>
            <m:r>
              <m:t>3</m:t>
            </m:r>
          </m:sup>
        </m:sSup>
        <m:r>
          <m:t>/h</m:t>
        </m:r>
      </m:oMath>
      <w:r>
        <w:t>).</w:t>
      </w:r>
    </w:p>
    <w:p>
      <w:r>
        <w:t>Um baixo fator de carga indica um perfil de consumo intermitente ou com picos sazonais, o que pode exigir sistemas de medição com alta sensibilidade a baixas vazões, como os medidores rotativos ou de diafragma, dependendo do porte do cliente.</w:t>
      </w:r>
    </w:p>
    <w:p>
      <w:pPr>
        <w:pStyle w:val="Heading4"/>
      </w:pPr>
      <w:r>
        <w:t>5.1.4. Incerteza de Medição e Critérios Metrológicos</w:t>
      </w:r>
    </w:p>
    <w:p>
      <w:r>
        <w:t xml:space="preserve">A incerteza do sistema de medição não depende exclusivamente do medidor de vazão, mas da combinação das incertezas de todos os sensores (pressão, temperatura) e do algoritmo de cálculo. A </w:t>
      </w:r>
      <w:r>
        <w:rPr>
          <w:b/>
        </w:rPr>
        <w:t>Incerteza Expandida</w:t>
      </w:r>
      <w:r>
        <w:t xml:space="preserve"> do sistema deve ser calculada utilizando o método da </w:t>
      </w:r>
      <w:r>
        <w:rPr>
          <w:b/>
        </w:rPr>
        <w:t>Raiz Quadrada da Soma dos Quadrados (RSS)</w:t>
      </w:r>
      <w:r>
        <w:t xml:space="preserve"> das incertezas padrão, conforme as diretrizes do </w:t>
      </w:r>
      <w:r>
        <w:rPr>
          <w:b/>
        </w:rPr>
        <w:t>Guia para a Expressão da Incerteza de Medição (GUM)</w:t>
      </w:r>
      <w:r>
        <w:t>.</w:t>
      </w:r>
    </w:p>
    <w:tbl>
      <w:tblPr>
        <w:tblStyle w:val="TableGrid"/>
        <w:tblW w:type="auto" w:w="0"/>
        <w:jc w:val="center"/>
        <w:tblLook w:firstColumn="1" w:firstRow="1" w:lastColumn="0" w:lastRow="0" w:noHBand="0" w:noVBand="1" w:val="04A0"/>
      </w:tblPr>
      <w:tblGrid>
        <w:gridCol w:w="3041"/>
        <w:gridCol w:w="3041"/>
        <w:gridCol w:w="3041"/>
      </w:tblGrid>
      <w:tr>
        <w:tc>
          <w:tcPr>
            <w:tcW w:type="dxa" w:w="3041"/>
            <w:shd w:fill="1A237E"/>
          </w:tcPr>
          <w:p>
            <w:pPr>
              <w:jc w:val="center"/>
            </w:pPr>
            <w:r>
              <w:rPr>
                <w:b/>
                <w:color w:val="FFFFFF"/>
                <w:sz w:val="18"/>
              </w:rPr>
              <w:t>Componente</w:t>
            </w:r>
          </w:p>
        </w:tc>
        <w:tc>
          <w:tcPr>
            <w:tcW w:type="dxa" w:w="3041"/>
            <w:shd w:fill="1A237E"/>
          </w:tcPr>
          <w:p>
            <w:pPr>
              <w:jc w:val="center"/>
            </w:pPr>
            <w:r>
              <w:rPr>
                <w:b/>
                <w:color w:val="FFFFFF"/>
                <w:sz w:val="18"/>
              </w:rPr>
              <w:t>Variável Crítica</w:t>
            </w:r>
          </w:p>
        </w:tc>
        <w:tc>
          <w:tcPr>
            <w:tcW w:type="dxa" w:w="3041"/>
            <w:shd w:fill="1A237E"/>
          </w:tcPr>
          <w:p>
            <w:pPr>
              <w:jc w:val="center"/>
            </w:pPr>
            <w:r>
              <w:rPr>
                <w:b/>
                <w:color w:val="FFFFFF"/>
                <w:sz w:val="18"/>
              </w:rPr>
              <w:t>Impacto na Incerteza Total</w:t>
            </w:r>
          </w:p>
        </w:tc>
      </w:tr>
      <w:tr>
        <w:tc>
          <w:tcPr>
            <w:tcW w:type="dxa" w:w="3041"/>
            <w:shd w:fill="F5F5F5"/>
          </w:tcPr>
          <w:p>
            <w:r>
              <w:rPr>
                <w:sz w:val="18"/>
              </w:rPr>
              <w:t>Medidor de Vazão</w:t>
            </w:r>
          </w:p>
        </w:tc>
        <w:tc>
          <w:tcPr>
            <w:tcW w:type="dxa" w:w="3041"/>
            <w:shd w:fill="F5F5F5"/>
          </w:tcPr>
          <w:p>
            <w:r>
              <w:rPr>
                <w:sz w:val="18"/>
              </w:rPr>
              <w:t>Curva de Erro ($Q_{min}$ a $Q_{max}$)</w:t>
            </w:r>
          </w:p>
        </w:tc>
        <w:tc>
          <w:tcPr>
            <w:tcW w:type="dxa" w:w="3041"/>
            <w:shd w:fill="F5F5F5"/>
          </w:tcPr>
          <w:p>
            <w:r>
              <w:rPr>
                <w:sz w:val="18"/>
              </w:rPr>
              <w:t>Dominante em altas vazões</w:t>
            </w:r>
          </w:p>
        </w:tc>
      </w:tr>
      <w:tr>
        <w:tc>
          <w:tcPr>
            <w:tcW w:type="dxa" w:w="3041"/>
          </w:tcPr>
          <w:p>
            <w:r>
              <w:rPr>
                <w:sz w:val="18"/>
              </w:rPr>
              <w:t>Transmissor de Pressão</w:t>
            </w:r>
          </w:p>
        </w:tc>
        <w:tc>
          <w:tcPr>
            <w:tcW w:type="dxa" w:w="3041"/>
          </w:tcPr>
          <w:p>
            <w:r>
              <w:rPr>
                <w:sz w:val="18"/>
              </w:rPr>
              <w:t>Estabilidade de Zero e Span</w:t>
            </w:r>
          </w:p>
        </w:tc>
        <w:tc>
          <w:tcPr>
            <w:tcW w:type="dxa" w:w="3041"/>
          </w:tcPr>
          <w:p>
            <w:r>
              <w:rPr>
                <w:sz w:val="18"/>
              </w:rPr>
              <w:t>Crítico em medições de alta pressão</w:t>
            </w:r>
          </w:p>
        </w:tc>
      </w:tr>
      <w:tr>
        <w:tc>
          <w:tcPr>
            <w:tcW w:type="dxa" w:w="3041"/>
            <w:shd w:fill="F5F5F5"/>
          </w:tcPr>
          <w:p>
            <w:r>
              <w:rPr>
                <w:sz w:val="18"/>
              </w:rPr>
              <w:t>Sonda de Temperatura</w:t>
            </w:r>
          </w:p>
        </w:tc>
        <w:tc>
          <w:tcPr>
            <w:tcW w:type="dxa" w:w="3041"/>
            <w:shd w:fill="F5F5F5"/>
          </w:tcPr>
          <w:p>
            <w:r>
              <w:rPr>
                <w:sz w:val="18"/>
              </w:rPr>
              <w:t>Erro de Inserção e Estabilidade</w:t>
            </w:r>
          </w:p>
        </w:tc>
        <w:tc>
          <w:tcPr>
            <w:tcW w:type="dxa" w:w="3041"/>
            <w:shd w:fill="F5F5F5"/>
          </w:tcPr>
          <w:p>
            <w:r>
              <w:rPr>
                <w:sz w:val="18"/>
              </w:rPr>
              <w:t>Impacto linear no fator de correção</w:t>
            </w:r>
          </w:p>
        </w:tc>
      </w:tr>
      <w:tr>
        <w:tc>
          <w:tcPr>
            <w:tcW w:type="dxa" w:w="3041"/>
          </w:tcPr>
          <w:p>
            <w:r>
              <w:rPr>
                <w:sz w:val="18"/>
              </w:rPr>
              <w:t>Computador de Vazão</w:t>
            </w:r>
          </w:p>
        </w:tc>
        <w:tc>
          <w:tcPr>
            <w:tcW w:type="dxa" w:w="3041"/>
          </w:tcPr>
          <w:p>
            <w:r>
              <w:rPr>
                <w:sz w:val="18"/>
              </w:rPr>
              <w:t>Algoritmo de Compressibilidade ($Z$)</w:t>
            </w:r>
          </w:p>
        </w:tc>
        <w:tc>
          <w:tcPr>
            <w:tcW w:type="dxa" w:w="3041"/>
          </w:tcPr>
          <w:p>
            <w:r>
              <w:rPr>
                <w:sz w:val="18"/>
              </w:rPr>
              <w:t>Relevante para gases com alto teor de $CO_2/N_2$</w:t>
            </w:r>
          </w:p>
        </w:tc>
      </w:tr>
    </w:tbl>
    <w:p/>
    <w:p>
      <w:r>
        <w:t xml:space="preserve">A </w:t>
      </w:r>
      <w:r>
        <w:rPr>
          <w:b/>
        </w:rPr>
        <w:t>adequabilidade metrológica</w:t>
      </w:r>
      <w:r>
        <w:t xml:space="preserve"> é confirmada quando a vazão operacional de trabalho se mantém, na maior parte do tempo, entre </w:t>
      </w:r>
      <m:oMath>
        <m:r>
          <m:t>20,0%</m:t>
        </m:r>
      </m:oMath>
      <w:r>
        <w:t xml:space="preserve"> e </w:t>
      </w:r>
      <m:oMath>
        <m:r>
          <m:t>80,0%</m:t>
        </m:r>
      </m:oMath>
      <w:r>
        <w:t xml:space="preserve"> da faixa nominal do instrumento, onde a repetitividade e a linearidade são otimizadas. Operações frequentes nas extremidades da faixa de calibração elevam o risco de erros sistemáticos e falhas presumidas no processo de apropriação.</w:t>
      </w:r>
    </w:p>
    <w:p>
      <w:pPr>
        <w:pStyle w:val="Heading2"/>
      </w:pPr>
      <w:r>
        <w:t>Análise dos Dados</w:t>
      </w:r>
    </w:p>
    <w:p>
      <w:r>
        <w:t xml:space="preserve">A análise técnica do período de abril a setembro de 2025 revela um perfil de consumo com elevada concentração de demanda e variações operacionais significativas entre os ativos monitorados. O volume total movimentado no distrito alcançou </w:t>
      </w:r>
      <w:r>
        <w:rPr>
          <w:b/>
        </w:rPr>
        <w:t>180,91 Mm³</w:t>
      </w:r>
      <w:r>
        <w:t>, distribuídos de forma heterogênea entre os sete clientes.</w:t>
      </w:r>
    </w:p>
    <w:p>
      <w:pPr>
        <w:pStyle w:val="Heading3"/>
      </w:pPr>
      <w:r>
        <w:t>5.2.1. Concentração de Mercado e Volumetria</w:t>
      </w:r>
    </w:p>
    <w:p>
      <w:r>
        <w:t xml:space="preserve">A distribuição da carga evidencia que as </w:t>
      </w:r>
      <w:r>
        <w:rPr>
          <w:b/>
        </w:rPr>
        <w:t>Empresas A e B</w:t>
      </w:r>
      <w:r>
        <w:t xml:space="preserve"> detêm, conjuntamente, </w:t>
      </w:r>
      <w:r>
        <w:rPr>
          <w:b/>
        </w:rPr>
        <w:t>81,6%</w:t>
      </w:r>
      <w:r>
        <w:t xml:space="preserve"> da participação do volume total do distrito. A </w:t>
      </w:r>
      <w:r>
        <w:rPr>
          <w:b/>
        </w:rPr>
        <w:t>Empresa A</w:t>
      </w:r>
      <w:r>
        <w:t xml:space="preserve">, com um volume de </w:t>
      </w:r>
      <w:r>
        <w:rPr>
          <w:b/>
        </w:rPr>
        <w:t>104,10 Mm³</w:t>
      </w:r>
      <w:r>
        <w:t>, consolida-se como o nó crítico do sistema.</w:t>
      </w:r>
    </w:p>
    <w:tbl>
      <w:tblPr>
        <w:tblStyle w:val="TableGrid"/>
        <w:tblW w:type="auto" w:w="0"/>
        <w:jc w:val="center"/>
        <w:tblLook w:firstColumn="1" w:firstRow="1" w:lastColumn="0" w:lastRow="0" w:noHBand="0" w:noVBand="1" w:val="04A0"/>
      </w:tblPr>
      <w:tblGrid>
        <w:gridCol w:w="3041"/>
        <w:gridCol w:w="3041"/>
        <w:gridCol w:w="3041"/>
      </w:tblGrid>
      <w:tr>
        <w:tc>
          <w:tcPr>
            <w:tcW w:type="dxa" w:w="3041"/>
            <w:shd w:fill="1A237E"/>
          </w:tcPr>
          <w:p>
            <w:pPr>
              <w:jc w:val="center"/>
            </w:pPr>
            <w:r>
              <w:rPr>
                <w:b/>
                <w:color w:val="FFFFFF"/>
                <w:sz w:val="18"/>
              </w:rPr>
              <w:t>Parâmetro de Volume</w:t>
            </w:r>
          </w:p>
        </w:tc>
        <w:tc>
          <w:tcPr>
            <w:tcW w:type="dxa" w:w="3041"/>
            <w:shd w:fill="1A237E"/>
          </w:tcPr>
          <w:p>
            <w:pPr>
              <w:jc w:val="center"/>
            </w:pPr>
            <w:r>
              <w:rPr>
                <w:b/>
                <w:color w:val="FFFFFF"/>
                <w:sz w:val="18"/>
              </w:rPr>
              <w:t>Valor Agregado</w:t>
            </w:r>
          </w:p>
        </w:tc>
        <w:tc>
          <w:tcPr>
            <w:tcW w:type="dxa" w:w="3041"/>
            <w:shd w:fill="1A237E"/>
          </w:tcPr>
          <w:p>
            <w:pPr>
              <w:jc w:val="center"/>
            </w:pPr>
            <w:r>
              <w:rPr>
                <w:b/>
                <w:color w:val="FFFFFF"/>
                <w:sz w:val="18"/>
              </w:rPr>
              <w:t>Unidade</w:t>
            </w:r>
          </w:p>
        </w:tc>
      </w:tr>
      <w:tr>
        <w:tc>
          <w:tcPr>
            <w:tcW w:type="dxa" w:w="3041"/>
            <w:shd w:fill="F5F5F5"/>
          </w:tcPr>
          <w:p>
            <w:r>
              <w:rPr>
                <w:sz w:val="18"/>
              </w:rPr>
              <w:t>Volume Total Distrital</w:t>
            </w:r>
          </w:p>
        </w:tc>
        <w:tc>
          <w:tcPr>
            <w:tcW w:type="dxa" w:w="3041"/>
            <w:shd w:fill="F5F5F5"/>
          </w:tcPr>
          <w:p>
            <w:r>
              <w:rPr>
                <w:sz w:val="18"/>
              </w:rPr>
              <w:t>180,91</w:t>
            </w:r>
          </w:p>
        </w:tc>
        <w:tc>
          <w:tcPr>
            <w:tcW w:type="dxa" w:w="3041"/>
            <w:shd w:fill="F5F5F5"/>
          </w:tcPr>
          <w:p>
            <w:r>
              <w:rPr>
                <w:sz w:val="18"/>
              </w:rPr>
              <w:t>Mm³</w:t>
            </w:r>
          </w:p>
        </w:tc>
      </w:tr>
      <w:tr>
        <w:tc>
          <w:tcPr>
            <w:tcW w:type="dxa" w:w="3041"/>
          </w:tcPr>
          <w:p>
            <w:r>
              <w:rPr>
                <w:sz w:val="18"/>
              </w:rPr>
              <w:t>Média de Participação (Top 2)</w:t>
            </w:r>
          </w:p>
        </w:tc>
        <w:tc>
          <w:tcPr>
            <w:tcW w:type="dxa" w:w="3041"/>
          </w:tcPr>
          <w:p>
            <w:r>
              <w:rPr>
                <w:sz w:val="18"/>
              </w:rPr>
              <w:t>40,80</w:t>
            </w:r>
          </w:p>
        </w:tc>
        <w:tc>
          <w:tcPr>
            <w:tcW w:type="dxa" w:w="3041"/>
          </w:tcPr>
          <w:p>
            <w:r>
              <w:rPr>
                <w:sz w:val="18"/>
              </w:rPr>
              <w:t>%</w:t>
            </w:r>
          </w:p>
        </w:tc>
      </w:tr>
      <w:tr>
        <w:tc>
          <w:tcPr>
            <w:tcW w:type="dxa" w:w="3041"/>
            <w:shd w:fill="F5F5F5"/>
          </w:tcPr>
          <w:p>
            <w:r>
              <w:rPr>
                <w:sz w:val="18"/>
              </w:rPr>
              <w:t>Desvio Padrão da Participação</w:t>
            </w:r>
          </w:p>
        </w:tc>
        <w:tc>
          <w:tcPr>
            <w:tcW w:type="dxa" w:w="3041"/>
            <w:shd w:fill="F5F5F5"/>
          </w:tcPr>
          <w:p>
            <w:r>
              <w:rPr>
                <w:sz w:val="18"/>
              </w:rPr>
              <w:t>22,14</w:t>
            </w:r>
          </w:p>
        </w:tc>
        <w:tc>
          <w:tcPr>
            <w:tcW w:type="dxa" w:w="3041"/>
            <w:shd w:fill="F5F5F5"/>
          </w:tcPr>
          <w:p>
            <w:r>
              <w:rPr>
                <w:sz w:val="18"/>
              </w:rPr>
              <w:t>%</w:t>
            </w:r>
          </w:p>
        </w:tc>
      </w:tr>
    </w:tbl>
    <w:p/>
    <w:p>
      <w:r>
        <w:t xml:space="preserve">A magnitude das vazões operacionais, especialmente na </w:t>
      </w:r>
      <w:r>
        <w:rPr>
          <w:b/>
        </w:rPr>
        <w:t>Empresa A</w:t>
      </w:r>
      <w:r>
        <w:t xml:space="preserve"> (</w:t>
      </w:r>
      <m:oMath>
        <m:sSub>
          <m:e>
            <m:r>
              <m:t>Q</m:t>
            </m:r>
          </m:e>
          <m:sub>
            <m:r>
              <m:t>max</m:t>
            </m:r>
          </m:sub>
        </m:sSub>
        <m:r>
          <m:t>=31.245</m:t>
        </m:r>
        <m:r>
          <m:rPr>
            <m:nor/>
          </m:rPr>
          <m:t> Nm³/h</m:t>
        </m:r>
      </m:oMath>
      <w:r>
        <w:t xml:space="preserve">), exige que o sistema de medição opere com </w:t>
      </w:r>
      <w:r>
        <w:rPr>
          <w:b/>
        </w:rPr>
        <w:t>incerteza expandida</w:t>
      </w:r>
      <w:r>
        <w:t xml:space="preserve"> rigorosamente controlada, uma vez que pequenas derivações percentuais no </w:t>
      </w:r>
      <w:r>
        <w:rPr>
          <w:b/>
        </w:rPr>
        <w:t>fator de compressibilidade ($Z$)</w:t>
      </w:r>
      <w:r>
        <w:t xml:space="preserve"> ou nos coeficientes de descarga resultam em erros vultosos em termos de energia total (PCS).</w:t>
      </w:r>
    </w:p>
    <w:p>
      <w:pPr>
        <w:pStyle w:val="Heading3"/>
      </w:pPr>
      <w:r>
        <w:t>5.2.2. Dinâmica de Escoamento e Fator de Carga</w:t>
      </w:r>
    </w:p>
    <w:p>
      <w:r>
        <w:t xml:space="preserve">O </w:t>
      </w:r>
      <w:r>
        <w:rPr>
          <w:b/>
        </w:rPr>
        <w:t>Fator de Carga (FC)</w:t>
      </w:r>
      <w:r>
        <w:t>, definido pela relação:</w:t>
      </w:r>
    </w:p>
    <w:p>
      <w:pPr>
        <w:jc w:val="center"/>
      </w:pPr>
      <m:oMath>
        <m:r>
          <m:t>FC=</m:t>
        </m:r>
        <m:f>
          <m:fPr>
            <m:type m:val="bar"/>
          </m:fPr>
          <m:num>
            <m:bar>
              <m:barPr>
                <m:pos m:val="top"/>
              </m:barPr>
              <m:e>
                <m:r>
                  <m:t>Q</m:t>
                </m:r>
              </m:e>
            </m:bar>
          </m:num>
          <m:den>
            <m:sSub>
              <m:e>
                <m:r>
                  <m:t>Q</m:t>
                </m:r>
              </m:e>
              <m:sub>
                <m:r>
                  <m:t>máx</m:t>
                </m:r>
              </m:sub>
            </m:sSub>
          </m:den>
        </m:f>
      </m:oMath>
    </w:p>
    <w:p>
      <w:r>
        <w:t xml:space="preserve">onde </w:t>
      </w:r>
      <m:oMath>
        <m:bar>
          <m:barPr>
            <m:pos m:val="top"/>
          </m:barPr>
          <m:e>
            <m:r>
              <m:t>Q</m:t>
            </m:r>
          </m:e>
        </m:bar>
      </m:oMath>
      <w:r>
        <w:t xml:space="preserve"> é a vazão média e </w:t>
      </w:r>
      <m:oMath>
        <m:sSub>
          <m:e>
            <m:r>
              <m:t>Q</m:t>
            </m:r>
          </m:e>
          <m:sub>
            <m:r>
              <m:t>máx</m:t>
            </m:r>
          </m:sub>
        </m:sSub>
      </m:oMath>
      <w:r>
        <w:t xml:space="preserve"> a vazão máxima instantânea, indica a estabilidade operacional do ponto de entrega.</w:t>
      </w:r>
    </w:p>
    <w:p>
      <w:r>
        <w:t xml:space="preserve">Os dados apontam que a </w:t>
      </w:r>
      <w:r>
        <w:rPr>
          <w:b/>
        </w:rPr>
        <w:t>Empresa A</w:t>
      </w:r>
      <w:r>
        <w:t xml:space="preserve"> possui o perfil mais estável (</w:t>
      </w:r>
      <m:oMath>
        <m:r>
          <m:t>FC=0,767</m:t>
        </m:r>
      </m:oMath>
      <w:r>
        <w:t xml:space="preserve">), minimizando transientes de pressão na rede. Em contrapartida, as </w:t>
      </w:r>
      <w:r>
        <w:rPr>
          <w:b/>
        </w:rPr>
        <w:t>Empresas D, C e G</w:t>
      </w:r>
      <w:r>
        <w:t xml:space="preserve"> apresentam fatores de carga críticos, inferiores a </w:t>
      </w:r>
      <w:r>
        <w:rPr>
          <w:b/>
        </w:rPr>
        <w:t>0,330</w:t>
      </w:r>
      <w:r>
        <w:t>. Tais valores indicam um consumo intermitente ou sazonal, o que submete os medidores (sejam eles de turbina ou ultrassônicos) a regimes de partida e parada frequentes, podendo comprometer a integridade mecânica ou a linearidade da medição em baixas vazões (</w:t>
      </w:r>
      <m:oMath>
        <m:sSub>
          <m:e>
            <m:r>
              <m:t>Q</m:t>
            </m:r>
          </m:e>
          <m:sub>
            <m:r>
              <m:t>min</m:t>
            </m:r>
          </m:sub>
        </m:sSub>
      </m:oMath>
      <w:r>
        <w:t>).</w:t>
      </w:r>
    </w:p>
    <w:p>
      <w:r>
        <w:t xml:space="preserve">Notadamente, as </w:t>
      </w:r>
      <w:r>
        <w:rPr>
          <w:b/>
        </w:rPr>
        <w:t>Empresas C, F e D</w:t>
      </w:r>
      <w:r>
        <w:t xml:space="preserve"> registraram vazões mínimas de </w:t>
      </w:r>
      <w:r>
        <w:rPr>
          <w:b/>
        </w:rPr>
        <w:t>0 Nm³/h</w:t>
      </w:r>
      <w:r>
        <w:t>, confirmando períodos de estagnação total do fluxo, o que exige atenção à estanqueidade das válvulas de bloqueio e à sensibilidade de corte de fluxo (</w:t>
      </w:r>
      <w:r>
        <w:rPr>
          <w:i/>
        </w:rPr>
        <w:t>low flow cut-off</w:t>
      </w:r>
      <w:r>
        <w:t>) dos computadores de vazão.</w:t>
      </w:r>
    </w:p>
    <w:p>
      <w:pPr>
        <w:pStyle w:val="Heading3"/>
      </w:pPr>
      <w:r>
        <w:t>5.2.3. Condições Termodinâmicas de Operação</w:t>
      </w:r>
    </w:p>
    <w:p>
      <w:r>
        <w:t xml:space="preserve">As condições de </w:t>
      </w:r>
      <w:r>
        <w:rPr>
          <w:b/>
        </w:rPr>
        <w:t>Pressão</w:t>
      </w:r>
      <w:r>
        <w:t xml:space="preserve"> e </w:t>
      </w:r>
      <w:r>
        <w:rPr>
          <w:b/>
        </w:rPr>
        <w:t>Temperatura</w:t>
      </w:r>
      <w:r>
        <w:t xml:space="preserve"> observadas impactam diretamente o cálculo do volume corrigido (</w:t>
      </w:r>
      <m:oMath>
        <m:sSub>
          <m:e>
            <m:r>
              <m:t>V</m:t>
            </m:r>
          </m:e>
          <m:sub>
            <m:r>
              <m:t>n</m:t>
            </m:r>
          </m:sub>
        </m:sSub>
      </m:oMath>
      <w:r>
        <w:t xml:space="preserve">). A amplitude de pressão no distrito varia de </w:t>
      </w:r>
      <w:r>
        <w:rPr>
          <w:b/>
        </w:rPr>
        <w:t>4,93 bara</w:t>
      </w:r>
      <w:r>
        <w:t xml:space="preserve"> (Empresa E) a </w:t>
      </w:r>
      <w:r>
        <w:rPr>
          <w:b/>
        </w:rPr>
        <w:t>18,57 bara</w:t>
      </w:r>
      <w:r>
        <w:t xml:space="preserve"> (Empresa D).</w:t>
      </w:r>
    </w:p>
    <w:tbl>
      <w:tblPr>
        <w:tblStyle w:val="TableGrid"/>
        <w:tblW w:type="auto" w:w="0"/>
        <w:jc w:val="center"/>
        <w:tblLook w:firstColumn="1" w:firstRow="1" w:lastColumn="0" w:lastRow="0" w:noHBand="0" w:noVBand="1" w:val="04A0"/>
      </w:tblPr>
      <w:tblGrid>
        <w:gridCol w:w="2280"/>
        <w:gridCol w:w="2280"/>
        <w:gridCol w:w="2280"/>
        <w:gridCol w:w="2280"/>
      </w:tblGrid>
      <w:tr>
        <w:tc>
          <w:tcPr>
            <w:tcW w:type="dxa" w:w="2280"/>
            <w:shd w:fill="1A237E"/>
          </w:tcPr>
          <w:p>
            <w:pPr>
              <w:jc w:val="center"/>
            </w:pPr>
            <w:r>
              <w:rPr>
                <w:b/>
                <w:color w:val="FFFFFF"/>
                <w:sz w:val="18"/>
              </w:rPr>
              <w:t>Cliente</w:t>
            </w:r>
          </w:p>
        </w:tc>
        <w:tc>
          <w:tcPr>
            <w:tcW w:type="dxa" w:w="2280"/>
            <w:shd w:fill="1A237E"/>
          </w:tcPr>
          <w:p>
            <w:pPr>
              <w:jc w:val="center"/>
            </w:pPr>
            <w:r>
              <w:rPr>
                <w:b/>
                <w:color w:val="FFFFFF"/>
                <w:sz w:val="18"/>
              </w:rPr>
              <w:t>Pressão Média (bara)</w:t>
            </w:r>
          </w:p>
        </w:tc>
        <w:tc>
          <w:tcPr>
            <w:tcW w:type="dxa" w:w="2280"/>
            <w:shd w:fill="1A237E"/>
          </w:tcPr>
          <w:p>
            <w:pPr>
              <w:jc w:val="center"/>
            </w:pPr>
            <w:r>
              <w:rPr>
                <w:b/>
                <w:color w:val="FFFFFF"/>
                <w:sz w:val="18"/>
              </w:rPr>
              <w:t>Temperatura Média (°C)</w:t>
            </w:r>
          </w:p>
        </w:tc>
        <w:tc>
          <w:tcPr>
            <w:tcW w:type="dxa" w:w="2280"/>
            <w:shd w:fill="1A237E"/>
          </w:tcPr>
          <w:p>
            <w:pPr>
              <w:jc w:val="center"/>
            </w:pPr>
            <w:r>
              <w:rPr>
                <w:b/>
                <w:color w:val="FFFFFF"/>
                <w:sz w:val="18"/>
              </w:rPr>
              <w:t>Estabilidade Térmica</w:t>
            </w:r>
          </w:p>
        </w:tc>
      </w:tr>
      <w:tr>
        <w:tc>
          <w:tcPr>
            <w:tcW w:type="dxa" w:w="2280"/>
            <w:shd w:fill="F5F5F5"/>
          </w:tcPr>
          <w:p>
            <w:r>
              <w:rPr>
                <w:sz w:val="18"/>
              </w:rPr>
              <w:t>Empresa A</w:t>
            </w:r>
          </w:p>
        </w:tc>
        <w:tc>
          <w:tcPr>
            <w:tcW w:type="dxa" w:w="2280"/>
            <w:shd w:fill="F5F5F5"/>
          </w:tcPr>
          <w:p>
            <w:r>
              <w:rPr>
                <w:sz w:val="18"/>
              </w:rPr>
              <w:t>15,47</w:t>
            </w:r>
          </w:p>
        </w:tc>
        <w:tc>
          <w:tcPr>
            <w:tcW w:type="dxa" w:w="2280"/>
            <w:shd w:fill="F5F5F5"/>
          </w:tcPr>
          <w:p>
            <w:r>
              <w:rPr>
                <w:sz w:val="18"/>
              </w:rPr>
              <w:t>23,49</w:t>
            </w:r>
          </w:p>
        </w:tc>
        <w:tc>
          <w:tcPr>
            <w:tcW w:type="dxa" w:w="2280"/>
            <w:shd w:fill="F5F5F5"/>
          </w:tcPr>
          <w:p>
            <w:r>
              <w:rPr>
                <w:sz w:val="18"/>
              </w:rPr>
              <w:t>Alta</w:t>
            </w:r>
          </w:p>
        </w:tc>
      </w:tr>
      <w:tr>
        <w:tc>
          <w:tcPr>
            <w:tcW w:type="dxa" w:w="2280"/>
          </w:tcPr>
          <w:p>
            <w:r>
              <w:rPr>
                <w:sz w:val="18"/>
              </w:rPr>
              <w:t>Empresa E</w:t>
            </w:r>
          </w:p>
        </w:tc>
        <w:tc>
          <w:tcPr>
            <w:tcW w:type="dxa" w:w="2280"/>
          </w:tcPr>
          <w:p>
            <w:r>
              <w:rPr>
                <w:sz w:val="18"/>
              </w:rPr>
              <w:t>4,93</w:t>
            </w:r>
          </w:p>
        </w:tc>
        <w:tc>
          <w:tcPr>
            <w:tcW w:type="dxa" w:w="2280"/>
          </w:tcPr>
          <w:p>
            <w:r>
              <w:rPr>
                <w:sz w:val="18"/>
              </w:rPr>
              <w:t>16,70</w:t>
            </w:r>
          </w:p>
        </w:tc>
        <w:tc>
          <w:tcPr>
            <w:tcW w:type="dxa" w:w="2280"/>
          </w:tcPr>
          <w:p>
            <w:r>
              <w:rPr>
                <w:sz w:val="18"/>
              </w:rPr>
              <w:t>Moderada</w:t>
            </w:r>
          </w:p>
        </w:tc>
      </w:tr>
      <w:tr>
        <w:tc>
          <w:tcPr>
            <w:tcW w:type="dxa" w:w="2280"/>
            <w:shd w:fill="F5F5F5"/>
          </w:tcPr>
          <w:p>
            <w:r>
              <w:rPr>
                <w:sz w:val="18"/>
              </w:rPr>
              <w:t>Empresa G</w:t>
            </w:r>
          </w:p>
        </w:tc>
        <w:tc>
          <w:tcPr>
            <w:tcW w:type="dxa" w:w="2280"/>
            <w:shd w:fill="F5F5F5"/>
          </w:tcPr>
          <w:p>
            <w:r>
              <w:rPr>
                <w:sz w:val="18"/>
              </w:rPr>
              <w:t>7,34</w:t>
            </w:r>
          </w:p>
        </w:tc>
        <w:tc>
          <w:tcPr>
            <w:tcW w:type="dxa" w:w="2280"/>
            <w:shd w:fill="F5F5F5"/>
          </w:tcPr>
          <w:p>
            <w:r>
              <w:rPr>
                <w:sz w:val="18"/>
              </w:rPr>
              <w:t>18,52</w:t>
            </w:r>
          </w:p>
        </w:tc>
        <w:tc>
          <w:tcPr>
            <w:tcW w:type="dxa" w:w="2280"/>
            <w:shd w:fill="F5F5F5"/>
          </w:tcPr>
          <w:p>
            <w:r>
              <w:rPr>
                <w:sz w:val="18"/>
              </w:rPr>
              <w:t>Moderada</w:t>
            </w:r>
          </w:p>
        </w:tc>
      </w:tr>
    </w:tbl>
    <w:p/>
    <w:p>
      <w:r>
        <w:t xml:space="preserve">A operação da </w:t>
      </w:r>
      <w:r>
        <w:rPr>
          <w:b/>
        </w:rPr>
        <w:t>Empresa E</w:t>
      </w:r>
      <w:r>
        <w:t xml:space="preserve"> a </w:t>
      </w:r>
      <w:r>
        <w:rPr>
          <w:b/>
        </w:rPr>
        <w:t>4,93 bara</w:t>
      </w:r>
      <w:r>
        <w:t xml:space="preserve"> representa o ponto de menor energia potencial de transporte, aumentando a velocidade real de escoamento para manter a vazão normalizada. As temperaturas médias encontram-se dentro da faixa operacional típica, porém o desvio observado na </w:t>
      </w:r>
      <w:r>
        <w:rPr>
          <w:b/>
        </w:rPr>
        <w:t>Empresa E</w:t>
      </w:r>
      <w:r>
        <w:t xml:space="preserve"> (16,70 °C) em relação à </w:t>
      </w:r>
      <w:r>
        <w:rPr>
          <w:b/>
        </w:rPr>
        <w:t>Empresa D</w:t>
      </w:r>
      <w:r>
        <w:t xml:space="preserve"> (23,64 °C) reflete o impacto das condições de instalação e o efeito Joule-Thomson derivado da redução de pressão a montante.</w:t>
      </w:r>
    </w:p>
    <w:p>
      <w:pPr>
        <w:pStyle w:val="Heading3"/>
      </w:pPr>
      <w:r>
        <w:t>5.2.4. Integridade e Confiabilidade dos Dados</w:t>
      </w:r>
    </w:p>
    <w:p>
      <w:r>
        <w:t xml:space="preserve">Um ponto de não conformidade técnica crítica foi identificado na </w:t>
      </w:r>
      <w:r>
        <w:rPr>
          <w:b/>
        </w:rPr>
        <w:t>Empresa D</w:t>
      </w:r>
      <w:r>
        <w:t xml:space="preserve">. O registro de </w:t>
      </w:r>
      <w:r>
        <w:rPr>
          <w:b/>
        </w:rPr>
        <w:t>57% de dados horários faltantes</w:t>
      </w:r>
      <w:r>
        <w:t xml:space="preserve"> inviabiliza o fechamento de balanço de massa com a precisão exigida para fins fiscais e de custódia.</w:t>
      </w:r>
    </w:p>
    <w:p>
      <w:r>
        <w:t xml:space="preserve">Sob a ótica da metrologia legal e das normas de auditoria de medição, a ausência de registros em tal magnitude impossibilita o cálculo da </w:t>
      </w:r>
      <w:r>
        <w:rPr>
          <w:b/>
        </w:rPr>
        <w:t>incerteza combinada</w:t>
      </w:r>
      <w:r>
        <w:t xml:space="preserve"> pelo método </w:t>
      </w:r>
      <w:r>
        <w:rPr>
          <w:b/>
        </w:rPr>
        <w:t>RSS (Root Sum Square)</w:t>
      </w:r>
      <w:r>
        <w:t xml:space="preserve"> para este cliente, pois não há garantia de que os valores remanescentes sejam representativos do período total. Além disso, a vazão média de apenas </w:t>
      </w:r>
      <w:r>
        <w:rPr>
          <w:b/>
        </w:rPr>
        <w:t>47 Nm³/h</w:t>
      </w:r>
      <w:r>
        <w:t xml:space="preserve"> associada a uma pressão elevada de </w:t>
      </w:r>
      <w:r>
        <w:rPr>
          <w:b/>
        </w:rPr>
        <w:t>18,57 bara</w:t>
      </w:r>
      <w:r>
        <w:t xml:space="preserve"> sugere que o medidor pode estar operando no limite inferior da sua faixa de calibração (</w:t>
      </w:r>
      <w:r>
        <w:rPr>
          <w:i/>
        </w:rPr>
        <w:t>rangeability</w:t>
      </w:r>
      <w:r>
        <w:t>), onde a incerteza sistemática tende a ser superior aos limites normativos permitidos.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029200" cy="2027427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lientes_participacao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02742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i/>
          <w:color w:val="666666"/>
          <w:sz w:val="18"/>
        </w:rPr>
        <w:t>Figura 5.1: Participação volumétrica dos clientes</w:t>
      </w:r>
    </w:p>
    <w:p/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029200" cy="5693257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lientes_serie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569325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i/>
          <w:color w:val="666666"/>
          <w:sz w:val="18"/>
        </w:rPr>
        <w:t>Figura 5.2: Séries temporais de consumo por cliente</w:t>
      </w:r>
    </w:p>
    <w:p/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029200" cy="2490973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lientes_perfil_horario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49097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i/>
          <w:color w:val="666666"/>
          <w:sz w:val="18"/>
        </w:rPr>
        <w:t>Figura 5.3: Perfis médios horários por cliente</w:t>
      </w:r>
    </w:p>
    <w:p/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029200" cy="2184194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lientes_heatmap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8419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i/>
          <w:color w:val="666666"/>
          <w:sz w:val="18"/>
        </w:rPr>
        <w:t>Figura 5.4: Heatmap de consumo da Empresa A</w:t>
      </w:r>
    </w:p>
    <w:p/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029200" cy="5691134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lientes_pressao_temp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569113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i/>
          <w:color w:val="666666"/>
          <w:sz w:val="18"/>
        </w:rPr>
        <w:t>Figura 5.5: Condições operacionais (pressão e temperatura)</w:t>
      </w:r>
    </w:p>
    <w:p/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029200" cy="2491641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lientes_boxplot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49164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i/>
          <w:color w:val="666666"/>
          <w:sz w:val="18"/>
        </w:rPr>
        <w:t>Figura 5.6: Distribuição comparativa de volumes por cliente</w:t>
      </w:r>
    </w:p>
    <w:p/>
    <w:p>
      <w:pPr>
        <w:pStyle w:val="Heading2"/>
      </w:pPr>
      <w:r>
        <w:t>Discussão dos Gráficos</w:t>
      </w:r>
    </w:p>
    <w:p>
      <w:r>
        <w:t>Nesta subseção, apresenta-se a interpretação visual e técnica dos perfis de consumo e condições operacionais do distrito, correlacionando os comportamentos observados entre os diferentes clientes e as variáveis de processo.</w:t>
      </w:r>
    </w:p>
    <w:p>
      <w:pPr>
        <w:pStyle w:val="Heading4"/>
      </w:pPr>
      <w:r>
        <w:t>Participação Volumétrica e Concentração de Mercado</w:t>
      </w:r>
    </w:p>
    <w:p>
      <w:r>
        <w:t xml:space="preserve">Na </w:t>
      </w:r>
      <w:r>
        <w:rPr>
          <w:b/>
        </w:rPr>
        <w:t>Figura 5.1</w:t>
      </w:r>
      <w:r>
        <w:t xml:space="preserve">, observa-se uma elevada concentração de demanda no distrito. A </w:t>
      </w:r>
      <w:r>
        <w:rPr>
          <w:b/>
        </w:rPr>
        <w:t>Empresa A</w:t>
      </w:r>
      <w:r>
        <w:t xml:space="preserve"> detém a dominância absoluta com </w:t>
      </w:r>
      <w:r>
        <w:rPr>
          <w:b/>
        </w:rPr>
        <w:t>57,5%</w:t>
      </w:r>
      <w:r>
        <w:t xml:space="preserve"> da participação (</w:t>
      </w:r>
      <w:r>
        <w:rPr>
          <w:b/>
        </w:rPr>
        <w:t>104,1 Mm³</w:t>
      </w:r>
      <w:r>
        <w:t xml:space="preserve">), seguida pela </w:t>
      </w:r>
      <w:r>
        <w:rPr>
          <w:b/>
        </w:rPr>
        <w:t>Empresa B</w:t>
      </w:r>
      <w:r>
        <w:t xml:space="preserve"> com </w:t>
      </w:r>
      <w:r>
        <w:rPr>
          <w:b/>
        </w:rPr>
        <w:t>24,1%</w:t>
      </w:r>
      <w:r>
        <w:t xml:space="preserve"> (</w:t>
      </w:r>
      <w:r>
        <w:rPr>
          <w:b/>
        </w:rPr>
        <w:t>43,7 Mm³</w:t>
      </w:r>
      <w:r>
        <w:t xml:space="preserve">). Somadas, as duas maiores consumidoras representam </w:t>
      </w:r>
      <w:r>
        <w:rPr>
          <w:b/>
        </w:rPr>
        <w:t>81,6%</w:t>
      </w:r>
      <w:r>
        <w:t xml:space="preserve"> do volume total medido no período de auditoria. No extremo oposto, a </w:t>
      </w:r>
      <w:r>
        <w:rPr>
          <w:b/>
        </w:rPr>
        <w:t>Empresa D</w:t>
      </w:r>
      <w:r>
        <w:t xml:space="preserve"> apresenta consumo residual de apenas </w:t>
      </w:r>
      <w:r>
        <w:rPr>
          <w:b/>
        </w:rPr>
        <w:t>0,1 Mm³</w:t>
      </w:r>
      <w:r>
        <w:t>, aproximando-se do limite inferior de medição em diversos períodos.</w:t>
      </w:r>
    </w:p>
    <w:p>
      <w:pPr>
        <w:pStyle w:val="Heading4"/>
      </w:pPr>
      <w:r>
        <w:t>Comportamento das Séries Temporais</w:t>
      </w:r>
    </w:p>
    <w:p>
      <w:r>
        <w:t xml:space="preserve">A </w:t>
      </w:r>
      <w:r>
        <w:rPr>
          <w:b/>
        </w:rPr>
        <w:t>Figura 5.2</w:t>
      </w:r>
      <w:r>
        <w:t xml:space="preserve"> detalha a dinâmica horária de consumo. Nota-se que a </w:t>
      </w:r>
      <w:r>
        <w:rPr>
          <w:b/>
        </w:rPr>
        <w:t>Empresa A</w:t>
      </w:r>
      <w:r>
        <w:t xml:space="preserve"> opera em regime de </w:t>
      </w:r>
      <w:r>
        <w:rPr>
          <w:b/>
        </w:rPr>
        <w:t>carga de base (base load)</w:t>
      </w:r>
      <w:r>
        <w:t xml:space="preserve">, com vazões horárias situadas predominantemente entre </w:t>
      </w:r>
      <w:r>
        <w:rPr>
          <w:b/>
        </w:rPr>
        <w:t>25.000 Nm³/h</w:t>
      </w:r>
      <w:r>
        <w:t xml:space="preserve"> e </w:t>
      </w:r>
      <w:r>
        <w:rPr>
          <w:b/>
        </w:rPr>
        <w:t>30.000 Nm³/h</w:t>
      </w:r>
      <w:r>
        <w:t>. É evidente uma parada técnica significativa na segunda quinzena de agosto, onde a vazão decaiu para níveis próximos a zero, indicando manutenção programada ou interrupção de processo.</w:t>
      </w:r>
    </w:p>
    <w:p>
      <w:r>
        <w:t xml:space="preserve">A </w:t>
      </w:r>
      <w:r>
        <w:rPr>
          <w:b/>
        </w:rPr>
        <w:t>Empresa B</w:t>
      </w:r>
      <w:r>
        <w:t xml:space="preserve"> exibe um padrão cíclico e intermitente, com oscilações bruscas entre </w:t>
      </w:r>
      <w:r>
        <w:rPr>
          <w:b/>
        </w:rPr>
        <w:t>2.500 Nm³/h</w:t>
      </w:r>
      <w:r>
        <w:t xml:space="preserve"> e </w:t>
      </w:r>
      <w:r>
        <w:rPr>
          <w:b/>
        </w:rPr>
        <w:t>15.000 Nm³/h</w:t>
      </w:r>
      <w:r>
        <w:t xml:space="preserve">, sugerindo um processo industrial descontínuo ou por bateladas. Já a </w:t>
      </w:r>
      <w:r>
        <w:rPr>
          <w:b/>
        </w:rPr>
        <w:t>Empresa G</w:t>
      </w:r>
      <w:r>
        <w:t xml:space="preserve"> apresenta um evento atípico (outlier temporal) em meados de agosto, com um pico de demanda que superou o dobro de sua média histórica, retornando à estabilidade logo em seguida.</w:t>
      </w:r>
    </w:p>
    <w:p>
      <w:pPr>
        <w:pStyle w:val="Heading4"/>
      </w:pPr>
      <w:r>
        <w:t>Perfis Médios Horários e Estatística Descritiva</w:t>
      </w:r>
    </w:p>
    <w:p>
      <w:r>
        <w:t xml:space="preserve">Na </w:t>
      </w:r>
      <w:r>
        <w:rPr>
          <w:b/>
        </w:rPr>
        <w:t>Figura 5.3</w:t>
      </w:r>
      <w:r>
        <w:t>, a análise do perfil médio por hora do dia revela naturezas operacionais distintas:</w:t>
      </w:r>
    </w:p>
    <w:p>
      <w:pPr>
        <w:pStyle w:val="ListBullet"/>
      </w:pPr>
      <w:r>
        <w:t xml:space="preserve">  </w:t>
      </w:r>
      <w:r>
        <w:rPr>
          <w:b/>
        </w:rPr>
        <w:t>Empresas A e E:</w:t>
      </w:r>
      <w:r>
        <w:t xml:space="preserve"> Apresentam perfis extremamente "flat" (planos), típicos de processos químicos ou siderúrgicos de </w:t>
      </w:r>
      <w:r>
        <w:rPr>
          <w:b/>
        </w:rPr>
        <w:t>operação contínua (24/7)</w:t>
      </w:r>
      <w:r>
        <w:t>. A banda de desvio padrão da Empresa A é proporcionalmente estreita em relação à sua média, indicando alta previsibilidade.</w:t>
      </w:r>
    </w:p>
    <w:p>
      <w:pPr>
        <w:pStyle w:val="ListBullet"/>
      </w:pPr>
      <w:r>
        <w:t xml:space="preserve">  </w:t>
      </w:r>
      <w:r>
        <w:rPr>
          <w:b/>
        </w:rPr>
        <w:t>Empresa B:</w:t>
      </w:r>
      <w:r>
        <w:t xml:space="preserve"> Demonstra um ciclo circadiano marcado, com redução de consumo no período diurno (entre 10h e 14h) e picos de demanda nas primeiras horas da manhã e final da tarde.</w:t>
      </w:r>
    </w:p>
    <w:p>
      <w:pPr>
        <w:pStyle w:val="ListBullet"/>
      </w:pPr>
      <w:r>
        <w:t xml:space="preserve">  </w:t>
      </w:r>
      <w:r>
        <w:rPr>
          <w:b/>
        </w:rPr>
        <w:t>Empresa D:</w:t>
      </w:r>
      <w:r>
        <w:t xml:space="preserve"> Exibe um comportamento bimodal, com picos de consumo às 08h e 20h, padrão frequentemente associado a demandas de serviços ou aquecimento comercial.</w:t>
      </w:r>
    </w:p>
    <w:p>
      <w:r>
        <w:t xml:space="preserve">A </w:t>
      </w:r>
      <w:r>
        <w:rPr>
          <w:b/>
        </w:rPr>
        <w:t>Figura 5.6</w:t>
      </w:r>
      <w:r>
        <w:t xml:space="preserve"> (Boxplots) corrobora essa análise, evidenciando que, apesar da </w:t>
      </w:r>
      <w:r>
        <w:rPr>
          <w:b/>
        </w:rPr>
        <w:t>Empresa A</w:t>
      </w:r>
      <w:r>
        <w:t xml:space="preserve"> possuir o maior volume, a </w:t>
      </w:r>
      <w:r>
        <w:rPr>
          <w:b/>
        </w:rPr>
        <w:t>Empresa B</w:t>
      </w:r>
      <w:r>
        <w:t xml:space="preserve"> detém a maior variância relativa, com uma amplitude interquartil que abrange quase </w:t>
      </w:r>
      <w:r>
        <w:rPr>
          <w:b/>
        </w:rPr>
        <w:t>50%</w:t>
      </w:r>
      <w:r>
        <w:t xml:space="preserve"> de sua faixa operacional máxima, refletindo uma operação altamente volátil.</w:t>
      </w:r>
    </w:p>
    <w:p>
      <w:pPr>
        <w:pStyle w:val="Heading4"/>
      </w:pPr>
      <w:r>
        <w:t>Análise Térmica e de Processo (Heatmap)</w:t>
      </w:r>
    </w:p>
    <w:p>
      <w:r>
        <w:t xml:space="preserve">A </w:t>
      </w:r>
      <w:r>
        <w:rPr>
          <w:b/>
        </w:rPr>
        <w:t>Figura 5.4</w:t>
      </w:r>
      <w:r>
        <w:t xml:space="preserve"> apresenta o </w:t>
      </w:r>
      <w:r>
        <w:rPr>
          <w:b/>
        </w:rPr>
        <w:t>Heatmap de Consumo da Empresa A</w:t>
      </w:r>
      <w:r>
        <w:t>, que atua como uma "assinatura digital" da instalação. A predominância de cores escuras confirma a operação ininterrupta. A faixa vertical clara no final de agosto isola precisamente o período de indisponibilidade da planta. Pequenas variações horizontais (sutis mudanças de cor ao longo das 24h) sugerem ajustes pontuais de carga, possivelmente influenciados por temperatura ambiente ou cronogramas de produção.</w:t>
      </w:r>
    </w:p>
    <w:p>
      <w:pPr>
        <w:pStyle w:val="Heading4"/>
      </w:pPr>
      <w:r>
        <w:t>Condições Operacionais: Pressão e Temperatura</w:t>
      </w:r>
    </w:p>
    <w:p>
      <w:r>
        <w:t xml:space="preserve">Na </w:t>
      </w:r>
      <w:r>
        <w:rPr>
          <w:b/>
        </w:rPr>
        <w:t>Figura 5.5</w:t>
      </w:r>
      <w:r>
        <w:t>, observa-se a interdependência entre as variáveis termodinâmicas e o fluxo:</w:t>
      </w:r>
    </w:p>
    <w:p>
      <w:pPr>
        <w:pStyle w:val="ListBullet"/>
      </w:pPr>
      <w:r>
        <w:t xml:space="preserve">  </w:t>
      </w:r>
      <w:r>
        <w:rPr>
          <w:b/>
        </w:rPr>
        <w:t>Inversão de Pressão:</w:t>
      </w:r>
      <w:r>
        <w:t xml:space="preserve"> Na </w:t>
      </w:r>
      <w:r>
        <w:rPr>
          <w:b/>
        </w:rPr>
        <w:t>Empresa A</w:t>
      </w:r>
      <w:r>
        <w:t xml:space="preserve">, o período de parada em agosto causou um aumento súbito na pressão de linha (chegando a </w:t>
      </w:r>
      <w:r>
        <w:rPr>
          <w:b/>
        </w:rPr>
        <w:t>17,5 bara</w:t>
      </w:r>
      <w:r>
        <w:t xml:space="preserve">), fenômeno de </w:t>
      </w:r>
      <w:r>
        <w:rPr>
          <w:i/>
        </w:rPr>
        <w:t>line packing</w:t>
      </w:r>
      <w:r>
        <w:t xml:space="preserve"> devido à ausência de consumo a jusante.</w:t>
      </w:r>
    </w:p>
    <w:p>
      <w:pPr>
        <w:pStyle w:val="ListBullet"/>
      </w:pPr>
      <w:r>
        <w:t xml:space="preserve">  </w:t>
      </w:r>
      <w:r>
        <w:rPr>
          <w:b/>
        </w:rPr>
        <w:t>Tendência Térmica:</w:t>
      </w:r>
      <w:r>
        <w:t xml:space="preserve"> Observa-se uma tendência de queda gradual na temperatura do gás entre abril e agosto para quase todos os clientes (especialmente visível nas </w:t>
      </w:r>
      <w:r>
        <w:rPr>
          <w:b/>
        </w:rPr>
        <w:t>Empresas E, F e G</w:t>
      </w:r>
      <w:r>
        <w:t>), o que é consistente com a sazonalidade climática (outono/inverno).</w:t>
      </w:r>
    </w:p>
    <w:p>
      <w:pPr>
        <w:pStyle w:val="ListBullet"/>
      </w:pPr>
      <w:r>
        <w:t xml:space="preserve">  </w:t>
      </w:r>
      <w:r>
        <w:rPr>
          <w:b/>
        </w:rPr>
        <w:t>Estabilidade na Empresa D:</w:t>
      </w:r>
      <w:r>
        <w:t xml:space="preserve"> A pressão de entrega para a </w:t>
      </w:r>
      <w:r>
        <w:rPr>
          <w:b/>
        </w:rPr>
        <w:t>Empresa D</w:t>
      </w:r>
      <w:r>
        <w:t xml:space="preserve"> mantém-se em patamares elevados (</w:t>
      </w:r>
      <w:r>
        <w:rPr>
          <w:b/>
        </w:rPr>
        <w:t>~18,5 bara</w:t>
      </w:r>
      <w:r>
        <w:t>) com baixíssima oscilação, o que facilita a integridade da medição apesar das baixas vazões registradas.</w:t>
      </w:r>
    </w:p>
    <w:tbl>
      <w:tblPr>
        <w:tblStyle w:val="TableGrid"/>
        <w:tblW w:type="auto" w:w="0"/>
        <w:jc w:val="center"/>
        <w:tblLook w:firstColumn="1" w:firstRow="1" w:lastColumn="0" w:lastRow="0" w:noHBand="0" w:noVBand="1" w:val="04A0"/>
      </w:tblPr>
      <w:tblGrid>
        <w:gridCol w:w="2280"/>
        <w:gridCol w:w="2280"/>
        <w:gridCol w:w="2280"/>
        <w:gridCol w:w="2280"/>
      </w:tblGrid>
      <w:tr>
        <w:tc>
          <w:tcPr>
            <w:tcW w:type="dxa" w:w="2280"/>
            <w:shd w:fill="1A237E"/>
          </w:tcPr>
          <w:p>
            <w:pPr>
              <w:jc w:val="center"/>
            </w:pPr>
            <w:r>
              <w:rPr>
                <w:b/>
                <w:color w:val="FFFFFF"/>
                <w:sz w:val="18"/>
              </w:rPr>
              <w:t>Cliente</w:t>
            </w:r>
          </w:p>
        </w:tc>
        <w:tc>
          <w:tcPr>
            <w:tcW w:type="dxa" w:w="2280"/>
            <w:shd w:fill="1A237E"/>
          </w:tcPr>
          <w:p>
            <w:pPr>
              <w:jc w:val="center"/>
            </w:pPr>
            <w:r>
              <w:rPr>
                <w:b/>
                <w:color w:val="FFFFFF"/>
                <w:sz w:val="18"/>
              </w:rPr>
              <w:t>Regime de Operação</w:t>
            </w:r>
          </w:p>
        </w:tc>
        <w:tc>
          <w:tcPr>
            <w:tcW w:type="dxa" w:w="2280"/>
            <w:shd w:fill="1A237E"/>
          </w:tcPr>
          <w:p>
            <w:pPr>
              <w:jc w:val="center"/>
            </w:pPr>
            <w:r>
              <w:rPr>
                <w:b/>
                <w:color w:val="FFFFFF"/>
                <w:sz w:val="18"/>
              </w:rPr>
              <w:t>Estabilidade (Pressão)</w:t>
            </w:r>
          </w:p>
        </w:tc>
        <w:tc>
          <w:tcPr>
            <w:tcW w:type="dxa" w:w="2280"/>
            <w:shd w:fill="1A237E"/>
          </w:tcPr>
          <w:p>
            <w:pPr>
              <w:jc w:val="center"/>
            </w:pPr>
            <w:r>
              <w:rPr>
                <w:b/>
                <w:color w:val="FFFFFF"/>
                <w:sz w:val="18"/>
              </w:rPr>
              <w:t>Observação Relevante</w:t>
            </w:r>
          </w:p>
        </w:tc>
      </w:tr>
      <w:tr>
        <w:tc>
          <w:tcPr>
            <w:tcW w:type="dxa" w:w="2280"/>
            <w:shd w:fill="F5F5F5"/>
          </w:tcPr>
          <w:p>
            <w:r>
              <w:rPr>
                <w:sz w:val="18"/>
              </w:rPr>
              <w:t>Empresa A</w:t>
            </w:r>
          </w:p>
        </w:tc>
        <w:tc>
          <w:tcPr>
            <w:tcW w:type="dxa" w:w="2280"/>
            <w:shd w:fill="F5F5F5"/>
          </w:tcPr>
          <w:p>
            <w:r>
              <w:rPr>
                <w:sz w:val="18"/>
              </w:rPr>
              <w:t>Contínuo</w:t>
            </w:r>
          </w:p>
        </w:tc>
        <w:tc>
          <w:tcPr>
            <w:tcW w:type="dxa" w:w="2280"/>
            <w:shd w:fill="F5F5F5"/>
          </w:tcPr>
          <w:p>
            <w:r>
              <w:rPr>
                <w:sz w:val="18"/>
              </w:rPr>
              <w:t>Alta (exceto em parada)</w:t>
            </w:r>
          </w:p>
        </w:tc>
        <w:tc>
          <w:tcPr>
            <w:tcW w:type="dxa" w:w="2280"/>
            <w:shd w:fill="F5F5F5"/>
          </w:tcPr>
          <w:p>
            <w:r>
              <w:rPr>
                <w:sz w:val="18"/>
              </w:rPr>
              <w:t>Dominante no distrito; parada em agosto.</w:t>
            </w:r>
          </w:p>
        </w:tc>
      </w:tr>
      <w:tr>
        <w:tc>
          <w:tcPr>
            <w:tcW w:type="dxa" w:w="2280"/>
          </w:tcPr>
          <w:p>
            <w:r>
              <w:rPr>
                <w:sz w:val="18"/>
              </w:rPr>
              <w:t>Empresa B</w:t>
            </w:r>
          </w:p>
        </w:tc>
        <w:tc>
          <w:tcPr>
            <w:tcW w:type="dxa" w:w="2280"/>
          </w:tcPr>
          <w:p>
            <w:r>
              <w:rPr>
                <w:sz w:val="18"/>
              </w:rPr>
              <w:t>Cíclico/Batelada</w:t>
            </w:r>
          </w:p>
        </w:tc>
        <w:tc>
          <w:tcPr>
            <w:tcW w:type="dxa" w:w="2280"/>
          </w:tcPr>
          <w:p>
            <w:r>
              <w:rPr>
                <w:sz w:val="18"/>
              </w:rPr>
              <w:t>Moderada</w:t>
            </w:r>
          </w:p>
        </w:tc>
        <w:tc>
          <w:tcPr>
            <w:tcW w:type="dxa" w:w="2280"/>
          </w:tcPr>
          <w:p>
            <w:r>
              <w:rPr>
                <w:sz w:val="18"/>
              </w:rPr>
              <w:t>Alta volatilidade horária.</w:t>
            </w:r>
          </w:p>
        </w:tc>
      </w:tr>
      <w:tr>
        <w:tc>
          <w:tcPr>
            <w:tcW w:type="dxa" w:w="2280"/>
            <w:shd w:fill="F5F5F5"/>
          </w:tcPr>
          <w:p>
            <w:r>
              <w:rPr>
                <w:sz w:val="18"/>
              </w:rPr>
              <w:t>Empresa E</w:t>
            </w:r>
          </w:p>
        </w:tc>
        <w:tc>
          <w:tcPr>
            <w:tcW w:type="dxa" w:w="2280"/>
            <w:shd w:fill="F5F5F5"/>
          </w:tcPr>
          <w:p>
            <w:r>
              <w:rPr>
                <w:sz w:val="18"/>
              </w:rPr>
              <w:t>Contínuo</w:t>
            </w:r>
          </w:p>
        </w:tc>
        <w:tc>
          <w:tcPr>
            <w:tcW w:type="dxa" w:w="2280"/>
            <w:shd w:fill="F5F5F5"/>
          </w:tcPr>
          <w:p>
            <w:r>
              <w:rPr>
                <w:sz w:val="18"/>
              </w:rPr>
              <w:t>Alta</w:t>
            </w:r>
          </w:p>
        </w:tc>
        <w:tc>
          <w:tcPr>
            <w:tcW w:type="dxa" w:w="2280"/>
            <w:shd w:fill="F5F5F5"/>
          </w:tcPr>
          <w:p>
            <w:r>
              <w:rPr>
                <w:sz w:val="18"/>
              </w:rPr>
              <w:t>Perfil de consumo mais estável do distrito.</w:t>
            </w:r>
          </w:p>
        </w:tc>
      </w:tr>
      <w:tr>
        <w:tc>
          <w:tcPr>
            <w:tcW w:type="dxa" w:w="2280"/>
          </w:tcPr>
          <w:p>
            <w:r>
              <w:rPr>
                <w:sz w:val="18"/>
              </w:rPr>
              <w:t>Empresa G</w:t>
            </w:r>
          </w:p>
        </w:tc>
        <w:tc>
          <w:tcPr>
            <w:tcW w:type="dxa" w:w="2280"/>
          </w:tcPr>
          <w:p>
            <w:r>
              <w:rPr>
                <w:sz w:val="18"/>
              </w:rPr>
              <w:t>Contínuo</w:t>
            </w:r>
          </w:p>
        </w:tc>
        <w:tc>
          <w:tcPr>
            <w:tcW w:type="dxa" w:w="2280"/>
          </w:tcPr>
          <w:p>
            <w:r>
              <w:rPr>
                <w:sz w:val="18"/>
              </w:rPr>
              <w:t>Baixa</w:t>
            </w:r>
          </w:p>
        </w:tc>
        <w:tc>
          <w:tcPr>
            <w:tcW w:type="dxa" w:w="2280"/>
          </w:tcPr>
          <w:p>
            <w:r>
              <w:rPr>
                <w:sz w:val="18"/>
              </w:rPr>
              <w:t>Queda acentuada de pressão ao longo do semestre.</w:t>
            </w:r>
          </w:p>
        </w:tc>
      </w:tr>
    </w:tbl>
    <w:p/>
    <w:p>
      <w:r>
        <w:t>Este conjunto de evidências visuais aponta para um distrito operado dentro de limites técnicos normais, com exceção de paradas programadas e variações sazonais de temperatura que devem ser devidamente compensadas pelos algoritmos de conversão de volume dos corretores de vazão.</w:t>
      </w:r>
    </w:p>
    <w:p>
      <w:pPr>
        <w:pStyle w:val="Heading2"/>
      </w:pPr>
      <w:r>
        <w:t>Parecer Regulatório</w:t>
      </w:r>
    </w:p>
    <w:p>
      <w:r>
        <w:t xml:space="preserve">Com base na auditoria técnica dos dados operacionais e nos requisitos de metrologia legal, o parecer para este distrito é de </w:t>
      </w:r>
      <w:r>
        <w:rPr>
          <w:b/>
        </w:rPr>
        <w:t>NÃO CONFORMIDADE CRÍTICA</w:t>
      </w:r>
      <w:r>
        <w:t>, com foco específico na integridade da custódia de dados e na adequabilidade dos ativos de menor porte.</w:t>
      </w:r>
    </w:p>
    <w:p>
      <w:r>
        <w:t>A conclusão fundamenta-se nos seguintes pontos:</w:t>
      </w:r>
    </w:p>
    <w:p>
      <w:pPr>
        <w:pStyle w:val="ListNumber"/>
      </w:pPr>
      <w:r>
        <w:rPr>
          <w:b/>
        </w:rPr>
        <w:t>Lacuna de Rastreabilidade (Empresa D):</w:t>
      </w:r>
      <w:r>
        <w:t xml:space="preserve"> O índice de </w:t>
      </w:r>
      <w:r>
        <w:rPr>
          <w:b/>
        </w:rPr>
        <w:t>57,0% de dados horários faltantes</w:t>
      </w:r>
      <w:r>
        <w:t xml:space="preserve"> na Empresa D é inaceitável sob a ótica regulatória. Tal condição inviabiliza a validação da medição para fins de faturamento e balanço distrital, ferindo os princípios de continuidade e confiabilidade metrológica.</w:t>
      </w:r>
    </w:p>
    <w:p>
      <w:pPr>
        <w:pStyle w:val="ListNumber"/>
      </w:pPr>
      <w:r>
        <w:rPr>
          <w:b/>
        </w:rPr>
        <w:t>Risco de Rangeabilidade:</w:t>
      </w:r>
      <w:r>
        <w:t xml:space="preserve"> Clientes com </w:t>
      </w:r>
      <w:r>
        <w:rPr>
          <w:b/>
        </w:rPr>
        <w:t>Fator de Carga (FC)</w:t>
      </w:r>
      <w:r>
        <w:t xml:space="preserve"> inferior a </w:t>
      </w:r>
      <w:r>
        <w:rPr>
          <w:b/>
        </w:rPr>
        <w:t>0,330</w:t>
      </w:r>
      <w:r>
        <w:t xml:space="preserve"> (Empresas D, C e G) e registros de vazão mínima de </w:t>
      </w:r>
      <w:r>
        <w:rPr>
          <w:b/>
        </w:rPr>
        <w:t>0 Nm³/h</w:t>
      </w:r>
      <w:r>
        <w:t xml:space="preserve"> operam frequentemente fora da zona linear dos medidores. Isso indica que os instrumentos podem estar subdimensionados ou operando abaixo de </w:t>
      </w:r>
      <m:oMath>
        <m:sSub>
          <m:e>
            <m:r>
              <m:t>Q</m:t>
            </m:r>
          </m:e>
          <m:sub>
            <m:r>
              <m:t>min</m:t>
            </m:r>
          </m:sub>
        </m:sSub>
      </m:oMath>
      <w:r>
        <w:t xml:space="preserve">, onde a </w:t>
      </w:r>
      <w:r>
        <w:rPr>
          <w:b/>
        </w:rPr>
        <w:t>incerteza expandida</w:t>
      </w:r>
      <w:r>
        <w:t xml:space="preserve"> ultrapassa os limites normativos.</w:t>
      </w:r>
    </w:p>
    <w:p>
      <w:pPr>
        <w:pStyle w:val="ListNumber"/>
      </w:pPr>
      <w:r>
        <w:rPr>
          <w:b/>
        </w:rPr>
        <w:t>Domínio de Carga:</w:t>
      </w:r>
      <w:r>
        <w:t xml:space="preserve"> A dependência operacional da Empresa A exige que qualquer desvio em seus sensores de pressão ou temperatura seja tratado como prioridade máxima, dado que sua participação de </w:t>
      </w:r>
      <w:r>
        <w:rPr>
          <w:b/>
        </w:rPr>
        <w:t>57,5%</w:t>
      </w:r>
      <w:r>
        <w:t xml:space="preserve"> no volume total torna o sistema sensível a pequenos erros no cálculo do </w:t>
      </w:r>
      <w:r>
        <w:rPr>
          <w:b/>
        </w:rPr>
        <w:t>Fator de Compressibilidade (Z)</w:t>
      </w:r>
      <w:r>
        <w:t>.</w:t>
      </w:r>
    </w:p>
    <w:p>
      <w:r>
        <w:rPr>
          <w:b/>
        </w:rPr>
        <w:t>Ações Recomendadas:</w:t>
      </w:r>
    </w:p>
    <w:p>
      <w:pPr>
        <w:pStyle w:val="ListBullet"/>
      </w:pPr>
      <w:r>
        <w:t xml:space="preserve">  </w:t>
      </w:r>
      <w:r>
        <w:rPr>
          <w:b/>
        </w:rPr>
        <w:t>Imediata:</w:t>
      </w:r>
      <w:r>
        <w:t xml:space="preserve"> Realizar auditoria extraordinária nos sistemas de telemetria e nos computadores de vazão da </w:t>
      </w:r>
      <w:r>
        <w:rPr>
          <w:b/>
        </w:rPr>
        <w:t>Empresa D</w:t>
      </w:r>
      <w:r>
        <w:t xml:space="preserve"> para identificar a causa raiz da perda de dados e proceder com a recuperação de volumes via estimativa técnica fundamentada, se aplicável.</w:t>
      </w:r>
    </w:p>
    <w:p>
      <w:pPr>
        <w:pStyle w:val="ListBullet"/>
      </w:pPr>
      <w:r>
        <w:t xml:space="preserve">  </w:t>
      </w:r>
      <w:r>
        <w:rPr>
          <w:b/>
        </w:rPr>
        <w:t>Curto Prazo:</w:t>
      </w:r>
      <w:r>
        <w:t xml:space="preserve"> Reavaliar o dimensionamento dos medidores das </w:t>
      </w:r>
      <w:r>
        <w:rPr>
          <w:b/>
        </w:rPr>
        <w:t>Empresas C, D e G</w:t>
      </w:r>
      <w:r>
        <w:t>. Recomenda-se a substituição de medidores de turbina por medidores rotativos ou ultrassônicos de alta rangeabilidade nesses pontos, visando mitigar a incerteza em baixas vazões.</w:t>
      </w:r>
    </w:p>
    <w:p>
      <w:pPr>
        <w:pStyle w:val="ListBullet"/>
      </w:pPr>
      <w:r>
        <w:t xml:space="preserve">  </w:t>
      </w:r>
      <w:r>
        <w:rPr>
          <w:b/>
        </w:rPr>
        <w:t>Médio Prazo:</w:t>
      </w:r>
      <w:r>
        <w:t xml:space="preserve"> Implementar rotina de verificação trimestral da estabilidade dos transmissores de pressão e temperatura nos clientes com </w:t>
      </w:r>
      <m:oMath>
        <m:r>
          <m:t>FC&lt;0,5</m:t>
        </m:r>
      </m:oMath>
      <w:r>
        <w:t xml:space="preserve">, garantindo que a </w:t>
      </w:r>
      <w:r>
        <w:rPr>
          <w:b/>
        </w:rPr>
        <w:t>incerteza combinada</w:t>
      </w:r>
      <w:r>
        <w:t xml:space="preserve"> do sistema permaneça dentro dos limites de </w:t>
      </w:r>
      <m:oMath>
        <m:r>
          <m:t>±1,0%</m:t>
        </m:r>
      </m:oMath>
      <w:r>
        <w:t>.</w:t>
      </w:r>
    </w:p>
    <w:p>
      <w:r>
        <w:br w:type="page"/>
      </w:r>
    </w:p>
    <w:p>
      <w:pPr>
        <w:pStyle w:val="Heading1"/>
      </w:pPr>
      <w:r>
        <w:t>6. Cálculo de Incertezas de Medição</w:t>
      </w:r>
    </w:p>
    <w:p>
      <w:r>
        <w:t xml:space="preserve">Este capítulo apresenta a avaliação técnica da confiabilidade metrológica do distrito de distribuição de gás natural, centrando-se na quantificação das incertezas de medição associadas aos volumes e energias transacionados. A análise da incerteza é um requisito fundamental para assegurar a modicidade tarifária e a transparência nas relações comerciais, visto que define os limites de confiança para o balanço de massa do sistema. Através da aplicação do método de </w:t>
      </w:r>
      <w:r>
        <w:rPr>
          <w:b/>
        </w:rPr>
        <w:t>Raiz da Soma dos Quadrados (RSS)</w:t>
      </w:r>
      <w:r>
        <w:t xml:space="preserve">, conforme as diretrizes do </w:t>
      </w:r>
      <w:r>
        <w:rPr>
          <w:b/>
        </w:rPr>
        <w:t>GUM</w:t>
      </w:r>
      <w:r>
        <w:t>, esta auditoria mapeia as variações estatísticas desde os pontos de suprimento até a entrega final ao consumidor.</w:t>
      </w:r>
    </w:p>
    <w:p>
      <w:r>
        <w:t xml:space="preserve">Os principais achados indicam um cenário de fragilidade metrológica nos pontos de saída do sistema. Enquanto as medições nos </w:t>
      </w:r>
      <w:r>
        <w:rPr>
          <w:b/>
        </w:rPr>
        <w:t>City Gates</w:t>
      </w:r>
      <w:r>
        <w:t xml:space="preserve"> (entrada) apresentam um comportamento próximo aos padrões de transferência de custódia, os pontos de consumo demonstram uma variabilidade excessiva. A identificação de incertezas expandidas que superam os limites regulatórios de apropriação em clientes específicos compromete a integridade do </w:t>
      </w:r>
      <w:r>
        <w:rPr>
          <w:b/>
        </w:rPr>
        <w:t>Gás Não Contabilizado (GNC)</w:t>
      </w:r>
      <w:r>
        <w:t>, dificultando a distinção entre perdas físicas reais e erros de medição acumulados.</w:t>
      </w:r>
    </w:p>
    <w:p>
      <w:pPr>
        <w:spacing w:after="80"/>
      </w:pPr>
      <w:r>
        <w:rPr>
          <w:b/>
          <w:i/>
          <w:color w:val="1A237E"/>
          <w:sz w:val="20"/>
        </w:rPr>
        <w:t>Tabela 6.1: Incertezas de Medição por Ponto</w:t>
      </w:r>
    </w:p>
    <w:tbl>
      <w:tblPr>
        <w:tblStyle w:val="TableGrid"/>
        <w:tblW w:type="auto" w:w="0"/>
        <w:jc w:val="center"/>
        <w:tblLook w:firstColumn="1" w:firstRow="1" w:lastColumn="0" w:lastRow="0" w:noHBand="0" w:noVBand="1" w:val="04A0"/>
      </w:tblPr>
      <w:tblGrid>
        <w:gridCol w:w="3041"/>
        <w:gridCol w:w="3041"/>
        <w:gridCol w:w="3041"/>
      </w:tblGrid>
      <w:tr>
        <w:tc>
          <w:tcPr>
            <w:tcW w:type="dxa" w:w="3041"/>
            <w:shd w:fill="1A237E"/>
          </w:tcPr>
          <w:p>
            <w:pPr>
              <w:jc w:val="center"/>
            </w:pPr>
            <w:r>
              <w:rPr>
                <w:b/>
                <w:color w:val="FFFFFF"/>
                <w:sz w:val="18"/>
              </w:rPr>
              <w:t>Ponto de Medição</w:t>
            </w:r>
          </w:p>
        </w:tc>
        <w:tc>
          <w:tcPr>
            <w:tcW w:type="dxa" w:w="3041"/>
            <w:shd w:fill="1A237E"/>
          </w:tcPr>
          <w:p>
            <w:pPr>
              <w:jc w:val="center"/>
            </w:pPr>
            <w:r>
              <w:rPr>
                <w:b/>
                <w:color w:val="FFFFFF"/>
                <w:sz w:val="18"/>
              </w:rPr>
              <w:t>Incerteza (%)</w:t>
            </w:r>
          </w:p>
        </w:tc>
        <w:tc>
          <w:tcPr>
            <w:tcW w:type="dxa" w:w="3041"/>
            <w:shd w:fill="1A237E"/>
          </w:tcPr>
          <w:p>
            <w:pPr>
              <w:jc w:val="center"/>
            </w:pPr>
            <w:r>
              <w:rPr>
                <w:b/>
                <w:color w:val="FFFFFF"/>
                <w:sz w:val="18"/>
              </w:rPr>
              <w:t>Classificação</w:t>
            </w:r>
          </w:p>
        </w:tc>
      </w:tr>
      <w:tr>
        <w:tc>
          <w:tcPr>
            <w:tcW w:type="dxa" w:w="3041"/>
            <w:shd w:fill="F5F5F5"/>
          </w:tcPr>
          <w:p>
            <w:r>
              <w:rPr>
                <w:sz w:val="18"/>
              </w:rPr>
              <w:t>Tramo 101 (Entrada 1)</w:t>
            </w:r>
          </w:p>
        </w:tc>
        <w:tc>
          <w:tcPr>
            <w:tcW w:type="dxa" w:w="3041"/>
            <w:shd w:fill="F5F5F5"/>
          </w:tcPr>
          <w:p>
            <w:r>
              <w:rPr>
                <w:sz w:val="18"/>
              </w:rPr>
              <w:t>1.06</w:t>
            </w:r>
          </w:p>
        </w:tc>
        <w:tc>
          <w:tcPr>
            <w:tcW w:type="dxa" w:w="3041"/>
            <w:shd w:fill="F5F5F5"/>
          </w:tcPr>
          <w:p>
            <w:r>
              <w:rPr>
                <w:sz w:val="18"/>
              </w:rPr>
              <w:t>Entrada</w:t>
            </w:r>
          </w:p>
        </w:tc>
      </w:tr>
      <w:tr>
        <w:tc>
          <w:tcPr>
            <w:tcW w:type="dxa" w:w="3041"/>
          </w:tcPr>
          <w:p>
            <w:r>
              <w:rPr>
                <w:sz w:val="18"/>
              </w:rPr>
              <w:t>Tramo 501 (Entrada 2)</w:t>
            </w:r>
          </w:p>
        </w:tc>
        <w:tc>
          <w:tcPr>
            <w:tcW w:type="dxa" w:w="3041"/>
          </w:tcPr>
          <w:p>
            <w:r>
              <w:rPr>
                <w:sz w:val="18"/>
              </w:rPr>
              <w:t>1.09</w:t>
            </w:r>
          </w:p>
        </w:tc>
        <w:tc>
          <w:tcPr>
            <w:tcW w:type="dxa" w:w="3041"/>
          </w:tcPr>
          <w:p>
            <w:r>
              <w:rPr>
                <w:sz w:val="18"/>
              </w:rPr>
              <w:t>Entrada</w:t>
            </w:r>
          </w:p>
        </w:tc>
      </w:tr>
      <w:tr>
        <w:tc>
          <w:tcPr>
            <w:tcW w:type="dxa" w:w="3041"/>
            <w:shd w:fill="F5F5F5"/>
          </w:tcPr>
          <w:p>
            <w:r>
              <w:rPr>
                <w:sz w:val="18"/>
              </w:rPr>
              <w:t>Combinada RSS (Entrada)</w:t>
            </w:r>
          </w:p>
        </w:tc>
        <w:tc>
          <w:tcPr>
            <w:tcW w:type="dxa" w:w="3041"/>
            <w:shd w:fill="F5F5F5"/>
          </w:tcPr>
          <w:p>
            <w:r>
              <w:rPr>
                <w:sz w:val="18"/>
              </w:rPr>
              <w:t>1.52</w:t>
            </w:r>
          </w:p>
        </w:tc>
        <w:tc>
          <w:tcPr>
            <w:tcW w:type="dxa" w:w="3041"/>
            <w:shd w:fill="F5F5F5"/>
          </w:tcPr>
          <w:p>
            <w:r>
              <w:rPr>
                <w:sz w:val="18"/>
              </w:rPr>
              <w:t>Entrada</w:t>
            </w:r>
          </w:p>
        </w:tc>
      </w:tr>
      <w:tr>
        <w:tc>
          <w:tcPr>
            <w:tcW w:type="dxa" w:w="3041"/>
          </w:tcPr>
          <w:p>
            <w:r>
              <w:rPr>
                <w:sz w:val="18"/>
              </w:rPr>
              <w:t>Empresa A</w:t>
            </w:r>
          </w:p>
        </w:tc>
        <w:tc>
          <w:tcPr>
            <w:tcW w:type="dxa" w:w="3041"/>
          </w:tcPr>
          <w:p>
            <w:r>
              <w:rPr>
                <w:sz w:val="18"/>
              </w:rPr>
              <w:t>1.33</w:t>
            </w:r>
          </w:p>
        </w:tc>
        <w:tc>
          <w:tcPr>
            <w:tcW w:type="dxa" w:w="3041"/>
          </w:tcPr>
          <w:p>
            <w:r>
              <w:rPr>
                <w:sz w:val="18"/>
              </w:rPr>
              <w:t>Saída</w:t>
            </w:r>
          </w:p>
        </w:tc>
      </w:tr>
      <w:tr>
        <w:tc>
          <w:tcPr>
            <w:tcW w:type="dxa" w:w="3041"/>
            <w:shd w:fill="F5F5F5"/>
          </w:tcPr>
          <w:p>
            <w:r>
              <w:rPr>
                <w:sz w:val="18"/>
              </w:rPr>
              <w:t>Empresa B</w:t>
            </w:r>
          </w:p>
        </w:tc>
        <w:tc>
          <w:tcPr>
            <w:tcW w:type="dxa" w:w="3041"/>
            <w:shd w:fill="F5F5F5"/>
          </w:tcPr>
          <w:p>
            <w:r>
              <w:rPr>
                <w:sz w:val="18"/>
              </w:rPr>
              <w:t>1.61</w:t>
            </w:r>
          </w:p>
        </w:tc>
        <w:tc>
          <w:tcPr>
            <w:tcW w:type="dxa" w:w="3041"/>
            <w:shd w:fill="F5F5F5"/>
          </w:tcPr>
          <w:p>
            <w:r>
              <w:rPr>
                <w:sz w:val="18"/>
              </w:rPr>
              <w:t>Saída</w:t>
            </w:r>
          </w:p>
        </w:tc>
      </w:tr>
      <w:tr>
        <w:tc>
          <w:tcPr>
            <w:tcW w:type="dxa" w:w="3041"/>
          </w:tcPr>
          <w:p>
            <w:r>
              <w:rPr>
                <w:sz w:val="18"/>
              </w:rPr>
              <w:t>Empresa C</w:t>
            </w:r>
          </w:p>
        </w:tc>
        <w:tc>
          <w:tcPr>
            <w:tcW w:type="dxa" w:w="3041"/>
          </w:tcPr>
          <w:p>
            <w:r>
              <w:rPr>
                <w:sz w:val="18"/>
              </w:rPr>
              <w:t>1.34</w:t>
            </w:r>
          </w:p>
        </w:tc>
        <w:tc>
          <w:tcPr>
            <w:tcW w:type="dxa" w:w="3041"/>
          </w:tcPr>
          <w:p>
            <w:r>
              <w:rPr>
                <w:sz w:val="18"/>
              </w:rPr>
              <w:t>Saída</w:t>
            </w:r>
          </w:p>
        </w:tc>
      </w:tr>
      <w:tr>
        <w:tc>
          <w:tcPr>
            <w:tcW w:type="dxa" w:w="3041"/>
            <w:shd w:fill="F5F5F5"/>
          </w:tcPr>
          <w:p>
            <w:r>
              <w:rPr>
                <w:sz w:val="18"/>
              </w:rPr>
              <w:t>Empresa D</w:t>
            </w:r>
          </w:p>
        </w:tc>
        <w:tc>
          <w:tcPr>
            <w:tcW w:type="dxa" w:w="3041"/>
            <w:shd w:fill="F5F5F5"/>
          </w:tcPr>
          <w:p>
            <w:r>
              <w:rPr>
                <w:sz w:val="18"/>
              </w:rPr>
              <w:t>3.58</w:t>
            </w:r>
          </w:p>
        </w:tc>
        <w:tc>
          <w:tcPr>
            <w:tcW w:type="dxa" w:w="3041"/>
            <w:shd w:fill="F5F5F5"/>
          </w:tcPr>
          <w:p>
            <w:r>
              <w:rPr>
                <w:sz w:val="18"/>
              </w:rPr>
              <w:t>Saída</w:t>
            </w:r>
          </w:p>
        </w:tc>
      </w:tr>
      <w:tr>
        <w:tc>
          <w:tcPr>
            <w:tcW w:type="dxa" w:w="3041"/>
          </w:tcPr>
          <w:p>
            <w:r>
              <w:rPr>
                <w:sz w:val="18"/>
              </w:rPr>
              <w:t>Empresa E</w:t>
            </w:r>
          </w:p>
        </w:tc>
        <w:tc>
          <w:tcPr>
            <w:tcW w:type="dxa" w:w="3041"/>
          </w:tcPr>
          <w:p>
            <w:r>
              <w:rPr>
                <w:sz w:val="18"/>
              </w:rPr>
              <w:t>3.05</w:t>
            </w:r>
          </w:p>
        </w:tc>
        <w:tc>
          <w:tcPr>
            <w:tcW w:type="dxa" w:w="3041"/>
          </w:tcPr>
          <w:p>
            <w:r>
              <w:rPr>
                <w:sz w:val="18"/>
              </w:rPr>
              <w:t>Saída</w:t>
            </w:r>
          </w:p>
        </w:tc>
      </w:tr>
      <w:tr>
        <w:tc>
          <w:tcPr>
            <w:tcW w:type="dxa" w:w="3041"/>
            <w:shd w:fill="F5F5F5"/>
          </w:tcPr>
          <w:p>
            <w:r>
              <w:rPr>
                <w:sz w:val="18"/>
              </w:rPr>
              <w:t>Empresa F</w:t>
            </w:r>
          </w:p>
        </w:tc>
        <w:tc>
          <w:tcPr>
            <w:tcW w:type="dxa" w:w="3041"/>
            <w:shd w:fill="F5F5F5"/>
          </w:tcPr>
          <w:p>
            <w:r>
              <w:rPr>
                <w:sz w:val="18"/>
              </w:rPr>
              <w:t>1.48</w:t>
            </w:r>
          </w:p>
        </w:tc>
        <w:tc>
          <w:tcPr>
            <w:tcW w:type="dxa" w:w="3041"/>
            <w:shd w:fill="F5F5F5"/>
          </w:tcPr>
          <w:p>
            <w:r>
              <w:rPr>
                <w:sz w:val="18"/>
              </w:rPr>
              <w:t>Saída</w:t>
            </w:r>
          </w:p>
        </w:tc>
      </w:tr>
      <w:tr>
        <w:tc>
          <w:tcPr>
            <w:tcW w:type="dxa" w:w="3041"/>
          </w:tcPr>
          <w:p>
            <w:r>
              <w:rPr>
                <w:sz w:val="18"/>
              </w:rPr>
              <w:t>Empresa G</w:t>
            </w:r>
          </w:p>
        </w:tc>
        <w:tc>
          <w:tcPr>
            <w:tcW w:type="dxa" w:w="3041"/>
          </w:tcPr>
          <w:p>
            <w:r>
              <w:rPr>
                <w:sz w:val="18"/>
              </w:rPr>
              <w:t>2.80</w:t>
            </w:r>
          </w:p>
        </w:tc>
        <w:tc>
          <w:tcPr>
            <w:tcW w:type="dxa" w:w="3041"/>
          </w:tcPr>
          <w:p>
            <w:r>
              <w:rPr>
                <w:sz w:val="18"/>
              </w:rPr>
              <w:t>Saída</w:t>
            </w:r>
          </w:p>
        </w:tc>
      </w:tr>
      <w:tr>
        <w:tc>
          <w:tcPr>
            <w:tcW w:type="dxa" w:w="3041"/>
            <w:shd w:fill="F5F5F5"/>
          </w:tcPr>
          <w:p>
            <w:r>
              <w:rPr>
                <w:sz w:val="18"/>
              </w:rPr>
              <w:t>Combinada RSS (Saída)</w:t>
            </w:r>
          </w:p>
        </w:tc>
        <w:tc>
          <w:tcPr>
            <w:tcW w:type="dxa" w:w="3041"/>
            <w:shd w:fill="F5F5F5"/>
          </w:tcPr>
          <w:p>
            <w:r>
              <w:rPr>
                <w:sz w:val="18"/>
              </w:rPr>
              <w:t>6.19</w:t>
            </w:r>
          </w:p>
        </w:tc>
        <w:tc>
          <w:tcPr>
            <w:tcW w:type="dxa" w:w="3041"/>
            <w:shd w:fill="F5F5F5"/>
          </w:tcPr>
          <w:p>
            <w:r>
              <w:rPr>
                <w:sz w:val="18"/>
              </w:rPr>
              <w:t>Saída</w:t>
            </w:r>
          </w:p>
        </w:tc>
      </w:tr>
    </w:tbl>
    <w:p/>
    <w:p>
      <w:pPr>
        <w:pStyle w:val="Heading2"/>
      </w:pPr>
      <w:r>
        <w:t>Fundamentação Teórica</w:t>
      </w:r>
    </w:p>
    <w:p>
      <w:r>
        <w:t>A confiabilidade dos resultados de medição de gás natural é um pilar essencial para a garantia da equidade comercial e para a eficiência operacional do sistema de distribuição. A base metrológica utilizada nesta auditoria fundamenta-se nos princípios internacionais de metrologia legal e científica, bem como nos regulamentos técnicos vigentes que estabelecem os critérios para a quantificação do volume de gás em condições de referência (</w:t>
      </w:r>
      <m:oMath>
        <m:r>
          <m:t>N</m:t>
        </m:r>
        <m:sSup>
          <m:e>
            <m:r>
              <m:t>m</m:t>
            </m:r>
          </m:e>
          <m:sup>
            <m:r>
              <m:t>3</m:t>
            </m:r>
          </m:sup>
        </m:sSup>
      </m:oMath>
      <w:r>
        <w:t>).</w:t>
      </w:r>
    </w:p>
    <w:p>
      <w:pPr>
        <w:pStyle w:val="Heading4"/>
      </w:pPr>
      <w:r>
        <w:t>6.1.1. Conceitos de Incerteza segundo o GUM</w:t>
      </w:r>
    </w:p>
    <w:p>
      <w:r>
        <w:t xml:space="preserve">A incerteza de medição não deve ser confundida com o erro de medição. Enquanto o erro representa a diferença pontual entre o valor indicado e o valor de referência, a </w:t>
      </w:r>
      <w:r>
        <w:rPr>
          <w:b/>
        </w:rPr>
        <w:t>incerteza de medição</w:t>
      </w:r>
      <w:r>
        <w:t xml:space="preserve"> é um parâmetro, associado ao resultado de uma medição, que caracteriza a dispersão dos valores que podem ser fundamentadamente atribuídos ao mensurando.</w:t>
      </w:r>
    </w:p>
    <w:p>
      <w:r>
        <w:t xml:space="preserve">De acordo com o </w:t>
      </w:r>
      <w:r>
        <w:rPr>
          <w:b/>
        </w:rPr>
        <w:t>Guia para a Expressão de Incerteza de Medição (GUM)</w:t>
      </w:r>
      <w:r>
        <w:t>, os componentes da incerteza são classificados conforme o método de avaliação:</w:t>
      </w:r>
    </w:p>
    <w:p>
      <w:pPr>
        <w:pStyle w:val="ListBullet"/>
      </w:pPr>
      <w:r>
        <w:t xml:space="preserve">  </w:t>
      </w:r>
      <w:r>
        <w:rPr>
          <w:b/>
        </w:rPr>
        <w:t>Avaliação do Tipo A:</w:t>
      </w:r>
      <w:r>
        <w:t xml:space="preserve"> Baseia-se em métodos estatísticos aplicados a séries de observações repetidas. É expressa pelo desvio padrão amostral e quantifica a repetibilidade e a variabilidade aleatória do processo de medição.</w:t>
      </w:r>
    </w:p>
    <w:p>
      <w:pPr>
        <w:pStyle w:val="ListBullet"/>
      </w:pPr>
      <w:r>
        <w:t xml:space="preserve">  </w:t>
      </w:r>
      <w:r>
        <w:rPr>
          <w:b/>
        </w:rPr>
        <w:t>Avaliação do Tipo B:</w:t>
      </w:r>
      <w:r>
        <w:t xml:space="preserve"> Baseia-se em julgamento técnico e informações externas. Inclui dados de certificados de calibração, especificações de fabricantes, incertezas de constantes físicas e dados de manuais técnicos.</w:t>
      </w:r>
    </w:p>
    <w:p>
      <w:pPr>
        <w:pStyle w:val="Heading4"/>
      </w:pPr>
      <w:r>
        <w:t>6.1.2. Modelo Matemático e Combinação de Incertezas (Método RSS)</w:t>
      </w:r>
    </w:p>
    <w:p>
      <w:r>
        <w:t>Para sistemas de medição de gás natural, que envolvem múltiplas variáveis de entrada — como pressão (</w:t>
      </w:r>
      <m:oMath>
        <m:r>
          <m:t>P</m:t>
        </m:r>
      </m:oMath>
      <w:r>
        <w:t>), temperatura (</w:t>
      </w:r>
      <m:oMath>
        <m:r>
          <m:t>T</m:t>
        </m:r>
      </m:oMath>
      <w:r>
        <w:t>), pressão diferencial (</w:t>
      </w:r>
      <m:oMath>
        <m:r>
          <m:t>ΔP</m:t>
        </m:r>
      </m:oMath>
      <w:r>
        <w:t>) e fator de compressibilidade (</w:t>
      </w:r>
      <m:oMath>
        <m:r>
          <m:t>Z</m:t>
        </m:r>
      </m:oMath>
      <w:r>
        <w:t>) — a incerteza do resultado final depende da propagação das incertezas de cada componente.</w:t>
      </w:r>
    </w:p>
    <w:p>
      <w:r>
        <w:t>Quando as grandezas de entrada são independentes e não correlacionadas, utiliza-se o método da *</w:t>
      </w:r>
      <w:r>
        <w:rPr>
          <w:i/>
        </w:rPr>
        <w:t xml:space="preserve">Raiz da Soma dos Quadrados (RSS - </w:t>
      </w:r>
      <w:r>
        <w:t>Root Sum Squares</w:t>
      </w:r>
      <w:r>
        <w:rPr>
          <w:i/>
        </w:rPr>
        <w:t>)</w:t>
      </w:r>
      <w:r>
        <w:rPr>
          <w:i/>
        </w:rPr>
        <w:t xml:space="preserve">. A </w:t>
      </w:r>
      <w:r>
        <w:rPr>
          <w:i/>
        </w:rPr>
        <w:t>Incerteza Padronizada Combinada</w:t>
      </w:r>
      <w:r>
        <w:t>* (</w:t>
      </w:r>
      <m:oMath>
        <m:sSub>
          <m:e>
            <m:r>
              <m:t>u</m:t>
            </m:r>
          </m:e>
          <m:sub>
            <m:r>
              <m:t>c</m:t>
            </m:r>
          </m:sub>
        </m:sSub>
      </m:oMath>
      <w:r>
        <w:t>) é calculada pela combinação das incertezas individuais (</w:t>
      </w:r>
      <m:oMath>
        <m:sSub>
          <m:e>
            <m:r>
              <m:t>u</m:t>
            </m:r>
          </m:e>
          <m:sub>
            <m:r>
              <m:t>i</m:t>
            </m:r>
          </m:sub>
        </m:sSub>
      </m:oMath>
      <w:r>
        <w:t>) ponderadas pelos seus respectivos coeficientes de sensibilidade, conforme a equação geral:</w:t>
      </w:r>
    </w:p>
    <w:p>
      <w:pPr>
        <w:jc w:val="center"/>
      </w:pPr>
      <m:oMath>
        <m:sSub>
          <m:e>
            <m:r>
              <m:t>u</m:t>
            </m:r>
          </m:e>
          <m:sub>
            <m:r>
              <m:t>c</m:t>
            </m:r>
          </m:sub>
        </m:sSub>
        <m:r>
          <m:t>=</m:t>
        </m:r>
        <m:rad>
          <m:radPr>
            <m:degHide m:val="on"/>
          </m:radPr>
          <m:deg/>
          <m:e>
            <m:sSubSup>
              <m:e>
                <m:r>
                  <m:t>u</m:t>
                </m:r>
              </m:e>
              <m:sub>
                <m:r>
                  <m:t>1</m:t>
                </m:r>
              </m:sub>
              <m:sup>
                <m:r>
                  <m:t>2</m:t>
                </m:r>
              </m:sup>
            </m:sSubSup>
            <m:r>
              <m:t>+</m:t>
            </m:r>
            <m:sSubSup>
              <m:e>
                <m:r>
                  <m:t>u</m:t>
                </m:r>
              </m:e>
              <m:sub>
                <m:r>
                  <m:t>2</m:t>
                </m:r>
              </m:sub>
              <m:sup>
                <m:r>
                  <m:t>2</m:t>
                </m:r>
              </m:sup>
            </m:sSubSup>
            <m:r>
              <m:t>+⋯+</m:t>
            </m:r>
            <m:sSubSup>
              <m:e>
                <m:r>
                  <m:t>u</m:t>
                </m:r>
              </m:e>
              <m:sub>
                <m:r>
                  <m:t>n</m:t>
                </m:r>
              </m:sub>
              <m:sup>
                <m:r>
                  <m:t>2</m:t>
                </m:r>
              </m:sup>
            </m:sSubSup>
          </m:e>
        </m:rad>
      </m:oMath>
    </w:p>
    <w:p>
      <w:r>
        <w:t xml:space="preserve">Onde cada termo </w:t>
      </w:r>
      <m:oMath>
        <m:sSub>
          <m:e>
            <m:r>
              <m:t>u</m:t>
            </m:r>
          </m:e>
          <m:sub>
            <m:r>
              <m:t>i</m:t>
            </m:r>
          </m:sub>
        </m:sSub>
      </m:oMath>
      <w:r>
        <w:t xml:space="preserve"> representa a contribuição de incerteza de um instrumento (medidor, transmissor de pressão, sensor de temperatura) ou de uma propriedade do fluido.</w:t>
      </w:r>
    </w:p>
    <w:p>
      <w:pPr>
        <w:pStyle w:val="Heading4"/>
      </w:pPr>
      <w:r>
        <w:t>6.1.3. Incerteza Expandida e Fator de Abrangência</w:t>
      </w:r>
    </w:p>
    <w:p>
      <w:r>
        <w:t xml:space="preserve">Para que o resultado da medição possua relevância prática em termos de conformidade regulatória, a incerteza combinada deve ser multiplicada por um </w:t>
      </w:r>
      <w:r>
        <w:rPr>
          <w:b/>
        </w:rPr>
        <w:t>fator de abrangência ($k$)</w:t>
      </w:r>
      <w:r>
        <w:t xml:space="preserve">. Este processo resulta na </w:t>
      </w:r>
      <w:r>
        <w:rPr>
          <w:b/>
        </w:rPr>
        <w:t>Incerteza Expandida ($U$)</w:t>
      </w:r>
      <w:r>
        <w:t>, que define um intervalo de confiança em torno do resultado medido.</w:t>
      </w:r>
    </w:p>
    <w:p>
      <w:r>
        <w:t xml:space="preserve">Conforme a prática metrológica estabelecida para o setor de gás natural, adota-se um fator de abrangência </w:t>
      </w:r>
      <w:r>
        <w:rPr>
          <w:b/>
        </w:rPr>
        <w:t>$k = 2$</w:t>
      </w:r>
      <w:r>
        <w:t xml:space="preserve">, o que provê um nível de confiança de aproximadamente </w:t>
      </w:r>
      <w:r>
        <w:rPr>
          <w:b/>
        </w:rPr>
        <w:t>95%</w:t>
      </w:r>
      <w:r>
        <w:t>, assumindo-se uma distribuição normal dos dados. A relação é expressa por:</w:t>
      </w:r>
    </w:p>
    <w:p>
      <w:pPr>
        <w:jc w:val="center"/>
      </w:pPr>
      <m:oMath>
        <m:r>
          <m:t>U=k·</m:t>
        </m:r>
        <m:sSub>
          <m:e>
            <m:r>
              <m:t>u</m:t>
            </m:r>
          </m:e>
          <m:sub>
            <m:r>
              <m:t>c</m:t>
            </m:r>
          </m:sub>
        </m:sSub>
        <m:r>
          <m:t>(k=2,</m:t>
        </m:r>
        <m:r>
          <m:rPr>
            <m:nor/>
          </m:rPr>
          <m:t> nível de confiança de 95\%</m:t>
        </m:r>
        <m:r>
          <m:t>)</m:t>
        </m:r>
      </m:oMath>
    </w:p>
    <w:p>
      <w:pPr>
        <w:pStyle w:val="Heading4"/>
      </w:pPr>
      <w:r>
        <w:t>6.1.4. Critérios e Limites Regulatórios</w:t>
      </w:r>
    </w:p>
    <w:p>
      <w:r>
        <w:t>A aceitabilidade técnica de um sistema de medição é balizada por limites de incerteza máxima admitida, os quais variam conforme a finalidade da medição e o impacto financeiro envolvido:</w:t>
      </w:r>
    </w:p>
    <w:p>
      <w:pPr>
        <w:pStyle w:val="ListNumber"/>
      </w:pPr>
      <w:r>
        <w:rPr>
          <w:b/>
        </w:rPr>
        <w:t>Medição Fiscal e Transferência de Custódia:</w:t>
      </w:r>
      <w:r>
        <w:t xml:space="preserve"> Devido ao seu uso direto para fins de faturamento entre agentes e arrecadação de tributos, estes sistemas possuem o maior rigor metrológico. O limite de incerteza expandida máximo estabelecido é de </w:t>
      </w:r>
      <w:r>
        <w:rPr>
          <w:b/>
        </w:rPr>
        <w:t>1,0%</w:t>
      </w:r>
      <w:r>
        <w:t xml:space="preserve"> para o volume total medido nas condições de referência.</w:t>
      </w:r>
    </w:p>
    <w:p>
      <w:pPr>
        <w:pStyle w:val="ListNumber"/>
      </w:pPr>
      <w:r>
        <w:rPr>
          <w:b/>
        </w:rPr>
        <w:t>Medição para Apropriação e Operacional:</w:t>
      </w:r>
      <w:r>
        <w:t xml:space="preserve"> Utilizada para balanço de redes ou medições internas onde o rigor fiscal não é o requisito primário. Nesses casos, admite-se uma incerteza expandida de até </w:t>
      </w:r>
      <w:r>
        <w:rPr>
          <w:b/>
        </w:rPr>
        <w:t>3,0%</w:t>
      </w:r>
      <w:r>
        <w:t>, refletindo uma tolerância operacional superior em função da criticidade do ponto de medição.</w:t>
      </w:r>
    </w:p>
    <w:p>
      <w:pPr>
        <w:pStyle w:val="Heading4"/>
      </w:pPr>
      <w:r>
        <w:t>6.1.5. Determinação do Poder Calorífico Superior (PCS)</w:t>
      </w:r>
    </w:p>
    <w:p>
      <w:r>
        <w:t>A medição do gás natural não se restringe apenas ao volume (</w:t>
      </w:r>
      <m:oMath>
        <m:f>
          <m:fPr>
            <m:type m:val="lin"/>
          </m:fPr>
          <m:num>
            <m:sSup>
              <m:e>
                <m:r>
                  <m:t>m</m:t>
                </m:r>
              </m:e>
              <m:sup>
                <m:r>
                  <m:t>3</m:t>
                </m:r>
              </m:sup>
            </m:sSup>
          </m:num>
          <m:den>
            <m:r>
              <m:t>h</m:t>
            </m:r>
          </m:den>
        </m:f>
      </m:oMath>
      <w:r>
        <w:t xml:space="preserve">), mas também à energia transportada. O </w:t>
      </w:r>
      <w:r>
        <w:rPr>
          <w:b/>
        </w:rPr>
        <w:t>Poder Calorífico Superior (PCS)</w:t>
      </w:r>
      <w:r>
        <w:t xml:space="preserve">, expresso usualmente em </w:t>
      </w:r>
      <m:oMath>
        <m:r>
          <m:t>kcal/</m:t>
        </m:r>
        <m:sSup>
          <m:e>
            <m:r>
              <m:t>m</m:t>
            </m:r>
          </m:e>
          <m:sup>
            <m:r>
              <m:t>3</m:t>
            </m:r>
          </m:sup>
        </m:sSup>
      </m:oMath>
      <w:r>
        <w:t>, é uma variável crítica que deve ser integrada ao cálculo da energia total. A incerteza associada à determinação do PCS, seja por cromatografia em linha ou por análise laboratorial, deve ser incorporada ao cálculo da incerteza da energia total, seguindo os mesmos preceitos de propagação descritos anteriormente.</w:t>
      </w:r>
    </w:p>
    <w:p>
      <w:pPr>
        <w:pStyle w:val="Heading2"/>
      </w:pPr>
      <w:r>
        <w:t>Análise dos Dados</w:t>
      </w:r>
    </w:p>
    <w:p>
      <w:r>
        <w:t>A análise técnica das incertezas de medição para o período de abril a setembro de 2025 revela disparidades significativas entre os pontos de suprimento (</w:t>
      </w:r>
      <w:r>
        <w:rPr>
          <w:b/>
        </w:rPr>
        <w:t>City Gates</w:t>
      </w:r>
      <w:r>
        <w:t xml:space="preserve">) e os pontos de entrega aos consumidores finais. A avaliação fundamenta-se no método de combinação de incertezas por </w:t>
      </w:r>
      <w:r>
        <w:rPr>
          <w:b/>
        </w:rPr>
        <w:t>Root Sum Square (RSS)</w:t>
      </w:r>
      <w:r>
        <w:t xml:space="preserve">, conforme preconizado pelo </w:t>
      </w:r>
      <w:r>
        <w:rPr>
          <w:b/>
        </w:rPr>
        <w:t>GUM (Guide to the Expression of Uncertainty in Measurement)</w:t>
      </w:r>
      <w:r>
        <w:t>.</w:t>
      </w:r>
    </w:p>
    <w:p>
      <w:pPr>
        <w:pStyle w:val="Heading4"/>
      </w:pPr>
      <w:r>
        <w:t>6.2.1. Incerteza nos Pontos de Entrada (Suprimento)</w:t>
      </w:r>
    </w:p>
    <w:p>
      <w:r>
        <w:t xml:space="preserve">Os dados coletados nos tramos de entrada indicam que ambos os pontos operam com </w:t>
      </w:r>
      <w:r>
        <w:rPr>
          <w:b/>
        </w:rPr>
        <w:t>incerteza expandida</w:t>
      </w:r>
      <w:r>
        <w:t xml:space="preserve"> ligeiramente acima do limite rigoroso de 1,00% comumente adotado para medição fiscal de custódia. O </w:t>
      </w:r>
      <w:r>
        <w:rPr>
          <w:b/>
        </w:rPr>
        <w:t>Tramo 101</w:t>
      </w:r>
      <w:r>
        <w:t xml:space="preserve"> apresenta 1,06%, enquanto o </w:t>
      </w:r>
      <w:r>
        <w:rPr>
          <w:b/>
        </w:rPr>
        <w:t>Tramo 501</w:t>
      </w:r>
      <w:r>
        <w:t xml:space="preserve"> registra 1,09%.</w:t>
      </w:r>
    </w:p>
    <w:p>
      <w:r>
        <w:t xml:space="preserve">A </w:t>
      </w:r>
      <w:r>
        <w:rPr>
          <w:b/>
        </w:rPr>
        <w:t>Incerteza Combinada de Entrada</w:t>
      </w:r>
      <w:r>
        <w:t>, calculada pela resultante quadrática dos componentes independentes, totaliza 1,52%, conforme demonstrado na equação abaixo:</w:t>
      </w:r>
    </w:p>
    <w:p>
      <w:pPr>
        <w:jc w:val="center"/>
      </w:pPr>
      <m:oMath>
        <m:sSub>
          <m:e>
            <m:r>
              <m:t>U</m:t>
            </m:r>
          </m:e>
          <m:sub>
            <m:r>
              <m:t>entrada</m:t>
            </m:r>
          </m:sub>
        </m:sSub>
        <m:r>
          <m:t>=</m:t>
        </m:r>
        <m:rad>
          <m:radPr>
            <m:degHide m:val="on"/>
          </m:radPr>
          <m:deg/>
          <m:e>
            <m:d>
              <m:dPr>
                <m:sepChr m:val=""/>
                <m:endChr m:val=""/>
              </m:dPr>
              <m:e>
                <m:r>
                  <m:t>1</m:t>
                </m:r>
                <m:r>
                  <m:t>,</m:t>
                </m:r>
                <m:r>
                  <m:t>06</m:t>
                </m:r>
                <m:r>
                  <m:t>%</m:t>
                </m:r>
                <m:sSup>
                  <m:e>
                    <m:r>
                      <m:t>)</m:t>
                    </m:r>
                  </m:e>
                  <m:sup>
                    <m:r>
                      <m:t>2</m:t>
                    </m:r>
                  </m:sup>
                </m:sSup>
                <m:r>
                  <m:t>+</m:t>
                </m:r>
                <m:r>
                  <m:t>(</m:t>
                </m:r>
                <m:r>
                  <m:t>1</m:t>
                </m:r>
                <m:r>
                  <m:t>,</m:t>
                </m:r>
                <m:r>
                  <m:t>09</m:t>
                </m:r>
                <m:r>
                  <m:t>%</m:t>
                </m:r>
                <m:sSup>
                  <m:e>
                    <m:r>
                      <m:t>)</m:t>
                    </m:r>
                  </m:e>
                  <m:sup>
                    <m:r>
                      <m:t>2</m:t>
                    </m:r>
                  </m:sup>
                </m:sSup>
              </m:e>
            </m:d>
          </m:e>
        </m:rad>
        <m:r>
          <m:t>=1,52%</m:t>
        </m:r>
      </m:oMath>
    </w:p>
    <w:p>
      <w:r>
        <w:t>Este valor de 1,52% representa a variabilidade estatística do volume total de gás injetado no distrito. Embora individualmente os tramos estejam próximos à conformidade, a composição do erro total de entrada eleva o risco de desbalanceamento no balanço de massa do sistema.</w:t>
      </w:r>
    </w:p>
    <w:p>
      <w:pPr>
        <w:pStyle w:val="Heading4"/>
      </w:pPr>
      <w:r>
        <w:t>6.2.2. Incerteza nos Pontos de Saída (Consumo)</w:t>
      </w:r>
    </w:p>
    <w:p>
      <w:r>
        <w:t xml:space="preserve">A análise dos pontos de entrega revela um cenário heterogêneo. Enquanto parte dos clientes mantém níveis de incerteza compatíveis com a prática industrial, as </w:t>
      </w:r>
      <w:r>
        <w:rPr>
          <w:b/>
        </w:rPr>
        <w:t>Empresas D e E</w:t>
      </w:r>
      <w:r>
        <w:t xml:space="preserve"> apresentam desvios críticos que superam o </w:t>
      </w:r>
      <w:r>
        <w:rPr>
          <w:b/>
        </w:rPr>
        <w:t>Limite de Apropriação</w:t>
      </w:r>
      <w:r>
        <w:t xml:space="preserve"> de 3,00%.</w:t>
      </w:r>
    </w:p>
    <w:p>
      <w:r>
        <w:t>A tabela abaixo sumariza o desempenho estatístico de cada ponto de medição de saída:</w:t>
      </w:r>
    </w:p>
    <w:tbl>
      <w:tblPr>
        <w:tblStyle w:val="TableGrid"/>
        <w:tblW w:type="auto" w:w="0"/>
        <w:jc w:val="center"/>
        <w:tblLook w:firstColumn="1" w:firstRow="1" w:lastColumn="0" w:lastRow="0" w:noHBand="0" w:noVBand="1" w:val="04A0"/>
      </w:tblPr>
      <w:tblGrid>
        <w:gridCol w:w="2280"/>
        <w:gridCol w:w="2280"/>
        <w:gridCol w:w="2280"/>
        <w:gridCol w:w="2280"/>
      </w:tblGrid>
      <w:tr>
        <w:tc>
          <w:tcPr>
            <w:tcW w:type="dxa" w:w="2280"/>
            <w:shd w:fill="1A237E"/>
          </w:tcPr>
          <w:p>
            <w:pPr>
              <w:jc w:val="center"/>
            </w:pPr>
            <w:r>
              <w:rPr>
                <w:b/>
                <w:color w:val="FFFFFF"/>
                <w:sz w:val="18"/>
              </w:rPr>
              <w:t>Ponto de Medição</w:t>
            </w:r>
          </w:p>
        </w:tc>
        <w:tc>
          <w:tcPr>
            <w:tcW w:type="dxa" w:w="2280"/>
            <w:shd w:fill="1A237E"/>
          </w:tcPr>
          <w:p>
            <w:pPr>
              <w:jc w:val="center"/>
            </w:pPr>
            <w:r>
              <w:rPr>
                <w:b/>
                <w:color w:val="FFFFFF"/>
                <w:sz w:val="18"/>
              </w:rPr>
              <w:t>Incerteza Expandida (%)</w:t>
            </w:r>
          </w:p>
        </w:tc>
        <w:tc>
          <w:tcPr>
            <w:tcW w:type="dxa" w:w="2280"/>
            <w:shd w:fill="1A237E"/>
          </w:tcPr>
          <w:p>
            <w:pPr>
              <w:jc w:val="center"/>
            </w:pPr>
            <w:r>
              <w:rPr>
                <w:b/>
                <w:color w:val="FFFFFF"/>
                <w:sz w:val="18"/>
              </w:rPr>
              <w:t>Limite de Apropriação</w:t>
            </w:r>
          </w:p>
        </w:tc>
        <w:tc>
          <w:tcPr>
            <w:tcW w:type="dxa" w:w="2280"/>
            <w:shd w:fill="1A237E"/>
          </w:tcPr>
          <w:p>
            <w:pPr>
              <w:jc w:val="center"/>
            </w:pPr>
            <w:r>
              <w:rPr>
                <w:b/>
                <w:color w:val="FFFFFF"/>
                <w:sz w:val="18"/>
              </w:rPr>
              <w:t>Status de Conformidade</w:t>
            </w:r>
          </w:p>
        </w:tc>
      </w:tr>
      <w:tr>
        <w:tc>
          <w:tcPr>
            <w:tcW w:type="dxa" w:w="2280"/>
            <w:shd w:fill="F5F5F5"/>
          </w:tcPr>
          <w:p>
            <w:r>
              <w:rPr>
                <w:sz w:val="18"/>
              </w:rPr>
              <w:t>Empresa A</w:t>
            </w:r>
          </w:p>
        </w:tc>
        <w:tc>
          <w:tcPr>
            <w:tcW w:type="dxa" w:w="2280"/>
            <w:shd w:fill="F5F5F5"/>
          </w:tcPr>
          <w:p>
            <w:r>
              <w:rPr>
                <w:sz w:val="18"/>
              </w:rPr>
              <w:t>1,33%</w:t>
            </w:r>
          </w:p>
        </w:tc>
        <w:tc>
          <w:tcPr>
            <w:tcW w:type="dxa" w:w="2280"/>
            <w:shd w:fill="F5F5F5"/>
          </w:tcPr>
          <w:p>
            <w:r>
              <w:rPr>
                <w:sz w:val="18"/>
              </w:rPr>
              <w:t>3,00%</w:t>
            </w:r>
          </w:p>
        </w:tc>
        <w:tc>
          <w:tcPr>
            <w:tcW w:type="dxa" w:w="2280"/>
            <w:shd w:fill="F5F5F5"/>
          </w:tcPr>
          <w:p>
            <w:r>
              <w:rPr>
                <w:sz w:val="18"/>
              </w:rPr>
              <w:t>Conforme</w:t>
            </w:r>
          </w:p>
        </w:tc>
      </w:tr>
      <w:tr>
        <w:tc>
          <w:tcPr>
            <w:tcW w:type="dxa" w:w="2280"/>
          </w:tcPr>
          <w:p>
            <w:r>
              <w:rPr>
                <w:sz w:val="18"/>
              </w:rPr>
              <w:t>Empresa B</w:t>
            </w:r>
          </w:p>
        </w:tc>
        <w:tc>
          <w:tcPr>
            <w:tcW w:type="dxa" w:w="2280"/>
          </w:tcPr>
          <w:p>
            <w:r>
              <w:rPr>
                <w:sz w:val="18"/>
              </w:rPr>
              <w:t>1,61%</w:t>
            </w:r>
          </w:p>
        </w:tc>
        <w:tc>
          <w:tcPr>
            <w:tcW w:type="dxa" w:w="2280"/>
          </w:tcPr>
          <w:p>
            <w:r>
              <w:rPr>
                <w:sz w:val="18"/>
              </w:rPr>
              <w:t>3,00%</w:t>
            </w:r>
          </w:p>
        </w:tc>
        <w:tc>
          <w:tcPr>
            <w:tcW w:type="dxa" w:w="2280"/>
          </w:tcPr>
          <w:p>
            <w:r>
              <w:rPr>
                <w:sz w:val="18"/>
              </w:rPr>
              <w:t>Conforme</w:t>
            </w:r>
          </w:p>
        </w:tc>
      </w:tr>
      <w:tr>
        <w:tc>
          <w:tcPr>
            <w:tcW w:type="dxa" w:w="2280"/>
            <w:shd w:fill="F5F5F5"/>
          </w:tcPr>
          <w:p>
            <w:r>
              <w:rPr>
                <w:sz w:val="18"/>
              </w:rPr>
              <w:t>Empresa C</w:t>
            </w:r>
          </w:p>
        </w:tc>
        <w:tc>
          <w:tcPr>
            <w:tcW w:type="dxa" w:w="2280"/>
            <w:shd w:fill="F5F5F5"/>
          </w:tcPr>
          <w:p>
            <w:r>
              <w:rPr>
                <w:sz w:val="18"/>
              </w:rPr>
              <w:t>1,34%</w:t>
            </w:r>
          </w:p>
        </w:tc>
        <w:tc>
          <w:tcPr>
            <w:tcW w:type="dxa" w:w="2280"/>
            <w:shd w:fill="F5F5F5"/>
          </w:tcPr>
          <w:p>
            <w:r>
              <w:rPr>
                <w:sz w:val="18"/>
              </w:rPr>
              <w:t>3,00%</w:t>
            </w:r>
          </w:p>
        </w:tc>
        <w:tc>
          <w:tcPr>
            <w:tcW w:type="dxa" w:w="2280"/>
            <w:shd w:fill="F5F5F5"/>
          </w:tcPr>
          <w:p>
            <w:r>
              <w:rPr>
                <w:sz w:val="18"/>
              </w:rPr>
              <w:t>Conforme</w:t>
            </w:r>
          </w:p>
        </w:tc>
      </w:tr>
      <w:tr>
        <w:tc>
          <w:tcPr>
            <w:tcW w:type="dxa" w:w="2280"/>
          </w:tcPr>
          <w:p>
            <w:r>
              <w:rPr>
                <w:sz w:val="18"/>
              </w:rPr>
              <w:t>Empresa D</w:t>
            </w:r>
          </w:p>
        </w:tc>
        <w:tc>
          <w:tcPr>
            <w:tcW w:type="dxa" w:w="2280"/>
          </w:tcPr>
          <w:p>
            <w:r>
              <w:rPr>
                <w:sz w:val="18"/>
              </w:rPr>
              <w:t>3,58%</w:t>
            </w:r>
          </w:p>
        </w:tc>
        <w:tc>
          <w:tcPr>
            <w:tcW w:type="dxa" w:w="2280"/>
          </w:tcPr>
          <w:p>
            <w:r>
              <w:rPr>
                <w:sz w:val="18"/>
              </w:rPr>
              <w:t>3,00%</w:t>
            </w:r>
          </w:p>
        </w:tc>
        <w:tc>
          <w:tcPr>
            <w:tcW w:type="dxa" w:w="2280"/>
          </w:tcPr>
          <w:p>
            <w:r>
              <w:rPr>
                <w:sz w:val="18"/>
              </w:rPr>
              <w:t>Não Conforme</w:t>
            </w:r>
          </w:p>
        </w:tc>
      </w:tr>
      <w:tr>
        <w:tc>
          <w:tcPr>
            <w:tcW w:type="dxa" w:w="2280"/>
            <w:shd w:fill="F5F5F5"/>
          </w:tcPr>
          <w:p>
            <w:r>
              <w:rPr>
                <w:sz w:val="18"/>
              </w:rPr>
              <w:t>Empresa E</w:t>
            </w:r>
          </w:p>
        </w:tc>
        <w:tc>
          <w:tcPr>
            <w:tcW w:type="dxa" w:w="2280"/>
            <w:shd w:fill="F5F5F5"/>
          </w:tcPr>
          <w:p>
            <w:r>
              <w:rPr>
                <w:sz w:val="18"/>
              </w:rPr>
              <w:t>3,05%</w:t>
            </w:r>
          </w:p>
        </w:tc>
        <w:tc>
          <w:tcPr>
            <w:tcW w:type="dxa" w:w="2280"/>
            <w:shd w:fill="F5F5F5"/>
          </w:tcPr>
          <w:p>
            <w:r>
              <w:rPr>
                <w:sz w:val="18"/>
              </w:rPr>
              <w:t>3,00%</w:t>
            </w:r>
          </w:p>
        </w:tc>
        <w:tc>
          <w:tcPr>
            <w:tcW w:type="dxa" w:w="2280"/>
            <w:shd w:fill="F5F5F5"/>
          </w:tcPr>
          <w:p>
            <w:r>
              <w:rPr>
                <w:sz w:val="18"/>
              </w:rPr>
              <w:t>Não Conforme</w:t>
            </w:r>
          </w:p>
        </w:tc>
      </w:tr>
      <w:tr>
        <w:tc>
          <w:tcPr>
            <w:tcW w:type="dxa" w:w="2280"/>
          </w:tcPr>
          <w:p>
            <w:r>
              <w:rPr>
                <w:sz w:val="18"/>
              </w:rPr>
              <w:t>Empresa F</w:t>
            </w:r>
          </w:p>
        </w:tc>
        <w:tc>
          <w:tcPr>
            <w:tcW w:type="dxa" w:w="2280"/>
          </w:tcPr>
          <w:p>
            <w:r>
              <w:rPr>
                <w:sz w:val="18"/>
              </w:rPr>
              <w:t>1,48%</w:t>
            </w:r>
          </w:p>
        </w:tc>
        <w:tc>
          <w:tcPr>
            <w:tcW w:type="dxa" w:w="2280"/>
          </w:tcPr>
          <w:p>
            <w:r>
              <w:rPr>
                <w:sz w:val="18"/>
              </w:rPr>
              <w:t>3,00%</w:t>
            </w:r>
          </w:p>
        </w:tc>
        <w:tc>
          <w:tcPr>
            <w:tcW w:type="dxa" w:w="2280"/>
          </w:tcPr>
          <w:p>
            <w:r>
              <w:rPr>
                <w:sz w:val="18"/>
              </w:rPr>
              <w:t>Conforme</w:t>
            </w:r>
          </w:p>
        </w:tc>
      </w:tr>
      <w:tr>
        <w:tc>
          <w:tcPr>
            <w:tcW w:type="dxa" w:w="2280"/>
            <w:shd w:fill="F5F5F5"/>
          </w:tcPr>
          <w:p>
            <w:r>
              <w:rPr>
                <w:sz w:val="18"/>
              </w:rPr>
              <w:t>Empresa G</w:t>
            </w:r>
          </w:p>
        </w:tc>
        <w:tc>
          <w:tcPr>
            <w:tcW w:type="dxa" w:w="2280"/>
            <w:shd w:fill="F5F5F5"/>
          </w:tcPr>
          <w:p>
            <w:r>
              <w:rPr>
                <w:sz w:val="18"/>
              </w:rPr>
              <w:t>2,80%</w:t>
            </w:r>
          </w:p>
        </w:tc>
        <w:tc>
          <w:tcPr>
            <w:tcW w:type="dxa" w:w="2280"/>
            <w:shd w:fill="F5F5F5"/>
          </w:tcPr>
          <w:p>
            <w:r>
              <w:rPr>
                <w:sz w:val="18"/>
              </w:rPr>
              <w:t>3,00%</w:t>
            </w:r>
          </w:p>
        </w:tc>
        <w:tc>
          <w:tcPr>
            <w:tcW w:type="dxa" w:w="2280"/>
            <w:shd w:fill="F5F5F5"/>
          </w:tcPr>
          <w:p>
            <w:r>
              <w:rPr>
                <w:sz w:val="18"/>
              </w:rPr>
              <w:t>Limítrofe</w:t>
            </w:r>
          </w:p>
        </w:tc>
      </w:tr>
    </w:tbl>
    <w:p/>
    <w:p>
      <w:r>
        <w:t xml:space="preserve">A </w:t>
      </w:r>
      <w:r>
        <w:rPr>
          <w:b/>
        </w:rPr>
        <w:t>Incerteza Combinada de Saída</w:t>
      </w:r>
      <w:r>
        <w:t xml:space="preserve">, que reflete o erro potencial acumulado na medição do faturamento total do distrito, atinge o montante de </w:t>
      </w:r>
      <w:r>
        <w:rPr>
          <w:b/>
        </w:rPr>
        <w:t>6,19%</w:t>
      </w:r>
      <w:r>
        <w:t>. Este valor é significativamente superior à incerteza de entrada (1,52%), evidenciando que a fragilidade do sistema de medição reside na rede de distribuição e não no suprimento primário.</w:t>
      </w:r>
    </w:p>
    <w:p>
      <w:pPr>
        <w:pStyle w:val="Heading4"/>
      </w:pPr>
      <w:r>
        <w:t>6.2.3. Contribuição dos Clientes e Impacto no Balanço Diferencial</w:t>
      </w:r>
    </w:p>
    <w:p>
      <w:r>
        <w:t xml:space="preserve">A discrepância entre a incerteza de entrada e a de saída possui implicações diretas no cálculo do </w:t>
      </w:r>
      <w:r>
        <w:rPr>
          <w:b/>
        </w:rPr>
        <w:t>Gás Não Contabilizado (GNC)</w:t>
      </w:r>
      <w:r>
        <w:t xml:space="preserve">. A incerteza de 6,19% nos pontos de saída sugere que o somatório dos volumes em </w:t>
      </w:r>
      <m:oMath>
        <m:r>
          <m:t>N</m:t>
        </m:r>
        <m:sSup>
          <m:e>
            <m:r>
              <m:t>m</m:t>
            </m:r>
          </m:e>
          <m:sup>
            <m:r>
              <m:t>3</m:t>
            </m:r>
          </m:sup>
        </m:sSup>
      </m:oMath>
      <w:r>
        <w:t xml:space="preserve"> ou a energia total em termos de </w:t>
      </w:r>
      <w:r>
        <w:rPr>
          <w:b/>
        </w:rPr>
        <w:t>PCS (kcal/m³)</w:t>
      </w:r>
      <w:r>
        <w:t xml:space="preserve"> entregue aos clientes possui uma margem de erro excessiva para fins de balanço operacional.</w:t>
      </w:r>
    </w:p>
    <w:p>
      <w:r>
        <w:t>Os pontos críticos identificados são:</w:t>
      </w:r>
    </w:p>
    <w:p>
      <w:pPr>
        <w:pStyle w:val="ListNumber"/>
      </w:pPr>
      <w:r>
        <w:rPr>
          <w:b/>
        </w:rPr>
        <w:t>Empresa D (3,58%)</w:t>
      </w:r>
      <w:r>
        <w:t>: É o maior detrator da qualidade da medição do distrito. Valores acima de 3,50% geralmente indicam operação em faixas de vazão (</w:t>
      </w:r>
      <m:oMath>
        <m:f>
          <m:fPr>
            <m:type m:val="lin"/>
          </m:fPr>
          <m:num>
            <m:sSup>
              <m:e>
                <m:r>
                  <m:t>m</m:t>
                </m:r>
              </m:e>
              <m:sup>
                <m:r>
                  <m:t>3</m:t>
                </m:r>
              </m:sup>
            </m:sSup>
          </m:num>
          <m:den>
            <m:r>
              <m:t>h</m:t>
            </m:r>
          </m:den>
        </m:f>
      </m:oMath>
      <w:r>
        <w:t>) abaixo da vazão mínima do medidor (</w:t>
      </w:r>
      <m:oMath>
        <m:sSub>
          <m:e>
            <m:r>
              <m:t>Q</m:t>
            </m:r>
          </m:e>
          <m:sub>
            <m:r>
              <m:t>min</m:t>
            </m:r>
          </m:sub>
        </m:sSub>
      </m:oMath>
      <w:r>
        <w:t>) ou obsolescência dos sistemas de correção de pressão e temperatura.</w:t>
      </w:r>
    </w:p>
    <w:p>
      <w:pPr>
        <w:pStyle w:val="ListNumber"/>
      </w:pPr>
      <w:r>
        <w:rPr>
          <w:b/>
        </w:rPr>
        <w:t>Empresa E (3,05%)</w:t>
      </w:r>
      <w:r>
        <w:t>: Embora em menor escala, também extrapola a tolerância normativa, contribuindo para a degradação da confiança metrológica do sistema.</w:t>
      </w:r>
    </w:p>
    <w:p>
      <w:pPr>
        <w:pStyle w:val="ListNumber"/>
      </w:pPr>
      <w:r>
        <w:rPr>
          <w:b/>
        </w:rPr>
        <w:t>Empresa G (2,80%)</w:t>
      </w:r>
      <w:r>
        <w:t>: Apesar de estar tecnicamente dentro do limite, sua proximidade com a margem de 3,00% exige monitoramento, pois qualquer derivação nos sensores de pressão ou temperatura poderá deslocá-la para a zona de não conformidade.</w:t>
      </w:r>
    </w:p>
    <w:p>
      <w:r>
        <w:t xml:space="preserve">A </w:t>
      </w:r>
      <w:r>
        <w:rPr>
          <w:b/>
        </w:rPr>
        <w:t>Incerteza Combinada Total do Distrito</w:t>
      </w:r>
      <w:r>
        <w:t xml:space="preserve">, considerando a propagação de erros entre entrada e saída, inviabiliza uma auditoria de balanço de massa com resolução inferior a 6,00%, o que é considerado elevado para padrões modernos de distribuição de gás natural. A concentração de incerteza nas saídas indica que eventuais perdas físicas no sistema podem estar sendo mascaradas pela </w:t>
      </w:r>
      <w:r>
        <w:rPr>
          <w:b/>
        </w:rPr>
        <w:t>baixa acurácia metrológica</w:t>
      </w:r>
      <w:r>
        <w:t xml:space="preserve"> dos medidores das empresas D e E.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029200" cy="2878667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certezas_barras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87866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i/>
          <w:color w:val="666666"/>
          <w:sz w:val="18"/>
        </w:rPr>
        <w:t>Figura 6.1: Incerteza por ponto de medição</w:t>
      </w:r>
    </w:p>
    <w:p/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029200" cy="2966989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certezas_rss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96698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i/>
          <w:color w:val="666666"/>
          <w:sz w:val="18"/>
        </w:rPr>
        <w:t>Figura 6.2: Incerteza combinada RSS — Entrada vs Saída</w:t>
      </w:r>
    </w:p>
    <w:p/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029200" cy="1874383"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certezas_contribuicao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187438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i/>
          <w:color w:val="666666"/>
          <w:sz w:val="18"/>
        </w:rPr>
        <w:t>Figura 6.3: Contribuição de cada cliente na incerteza total</w:t>
      </w:r>
    </w:p>
    <w:p/>
    <w:p>
      <w:pPr>
        <w:pStyle w:val="Heading2"/>
      </w:pPr>
      <w:r>
        <w:t>Discussão dos Gráficos</w:t>
      </w:r>
    </w:p>
    <w:p>
      <w:r>
        <w:t>A análise visual dos resultados permite identificar a conformidade do sistema de medição frente aos requisitos normativos e a distribuição de riscos operacionais no distrito.</w:t>
      </w:r>
    </w:p>
    <w:p>
      <w:pPr>
        <w:pStyle w:val="Heading4"/>
      </w:pPr>
      <w:r>
        <w:t>Incerteza Individual por Ponto de Medição</w:t>
      </w:r>
    </w:p>
    <w:p>
      <w:r>
        <w:t xml:space="preserve">Na </w:t>
      </w:r>
      <w:r>
        <w:rPr>
          <w:b/>
        </w:rPr>
        <w:t>Figura 6.1</w:t>
      </w:r>
      <w:r>
        <w:t xml:space="preserve">, observa-se o perfil de incerteza para cada estação de medição individualmente. Os pontos de </w:t>
      </w:r>
      <w:r>
        <w:rPr>
          <w:b/>
        </w:rPr>
        <w:t>Entrada</w:t>
      </w:r>
      <w:r>
        <w:t xml:space="preserve"> (Tramo 101 e Tramo 501) apresentam valores de 1,06% e 1,09%, respectivamente. Nota-se que ambos superam ligeiramente a linha de referência do </w:t>
      </w:r>
      <w:r>
        <w:rPr>
          <w:b/>
        </w:rPr>
        <w:t>Limite Fiscal (1,00%)</w:t>
      </w:r>
      <w:r>
        <w:t>, indicando que as medições de suprimento operam em uma zona de atenção, embora próximas ao ideal normativo.</w:t>
      </w:r>
    </w:p>
    <w:p>
      <w:r>
        <w:t xml:space="preserve">Quanto aos pontos de </w:t>
      </w:r>
      <w:r>
        <w:rPr>
          <w:b/>
        </w:rPr>
        <w:t>Saída</w:t>
      </w:r>
      <w:r>
        <w:t>, verifica-se uma heterogeneidade significativa:</w:t>
      </w:r>
    </w:p>
    <w:p>
      <w:pPr>
        <w:pStyle w:val="ListBullet"/>
      </w:pPr>
      <w:r>
        <w:t xml:space="preserve">  As estações Yara Brasil (1,33%), Usinas Siderúrgicas (1,61%), Unipar Carbocloro (1,34%) e CMOC Brasil (1,48%) situam-se em um intervalo intermediário, respeitando o </w:t>
      </w:r>
      <w:r>
        <w:rPr>
          <w:b/>
        </w:rPr>
        <w:t>Limite de Apropriação (3,00%)</w:t>
      </w:r>
      <w:r>
        <w:t>, mas todas excedendo o limite fiscal.</w:t>
      </w:r>
    </w:p>
    <w:p>
      <w:pPr>
        <w:pStyle w:val="ListBullet"/>
      </w:pPr>
      <w:r>
        <w:t xml:space="preserve">  Identificam-se </w:t>
      </w:r>
      <w:r>
        <w:rPr>
          <w:b/>
        </w:rPr>
        <w:t>outliers</w:t>
      </w:r>
      <w:r>
        <w:t xml:space="preserve"> críticos nos pontos </w:t>
      </w:r>
      <w:r>
        <w:rPr>
          <w:b/>
        </w:rPr>
        <w:t>Comp. Bras. Estireno (3,05%)</w:t>
      </w:r>
      <w:r>
        <w:t xml:space="preserve"> e </w:t>
      </w:r>
      <w:r>
        <w:rPr>
          <w:b/>
        </w:rPr>
        <w:t>Coop. Taxi (3,58%)</w:t>
      </w:r>
      <w:r>
        <w:t>, que ultrapassam o limite de 3,00%. A elevada incerteza nestes pontos sugere regimes de fluxo desfavoráveis para a tecnologia de medição instalada ou a necessidade de recalibração dos transdutores e elementos primários.</w:t>
      </w:r>
    </w:p>
    <w:p>
      <w:pPr>
        <w:pStyle w:val="ListBullet"/>
      </w:pPr>
      <w:r>
        <w:t xml:space="preserve">  A medição da Birla Carbon (2,80%) aproxima-se perigosamente do limite de apropriação, demandando monitoramento preventivo.</w:t>
      </w:r>
    </w:p>
    <w:p>
      <w:pPr>
        <w:pStyle w:val="Heading4"/>
      </w:pPr>
      <w:r>
        <w:t>Incerteza Combinada RSS: Entrada vs. Saída</w:t>
      </w:r>
    </w:p>
    <w:p>
      <w:r>
        <w:t xml:space="preserve">A </w:t>
      </w:r>
      <w:r>
        <w:rPr>
          <w:b/>
        </w:rPr>
        <w:t>Figura 6.2</w:t>
      </w:r>
      <w:r>
        <w:t xml:space="preserve"> apresenta a consolidação das incertezas por meio do método </w:t>
      </w:r>
      <w:r>
        <w:rPr>
          <w:b/>
        </w:rPr>
        <w:t>RSS (Root Sum Square)</w:t>
      </w:r>
      <w:r>
        <w:t xml:space="preserve">, conforme preconizado pelo </w:t>
      </w:r>
      <w:r>
        <w:rPr>
          <w:b/>
        </w:rPr>
        <w:t>GUM (Guia para a Expressão da Incerteza de Medição)</w:t>
      </w:r>
      <w:r>
        <w:t>. O cálculo da incerteza combinada para as entradas resulta em 1,52%, enquanto para as saídas o valor atinge 6,19%.</w:t>
      </w:r>
    </w:p>
    <w:p>
      <w:r>
        <w:t>Visualmente, o gráfico expõe um desequilíbrio metrológico severo entre o gás que entra no distrito e o gás faturado nas saídas. Enquanto a incerteza da entrada está apenas 0,52 pontos percentuais acima da referência fiscal, a incerteza combinada das saídas é mais de seis vezes superior ao limite de 1,00%. Esta disparidade é um indicativo clássico de que o erro residual no balanço de massa (diferença entre Nm³ de entrada e saída) será dominado pelas imprecisões acumuladas nas estações de entrega aos clientes finais.</w:t>
      </w:r>
    </w:p>
    <w:p>
      <w:pPr>
        <w:pStyle w:val="Heading4"/>
      </w:pPr>
      <w:r>
        <w:t>Análise de Contribuição para a Incerteza Total</w:t>
      </w:r>
    </w:p>
    <w:p>
      <w:r>
        <w:t xml:space="preserve">Na </w:t>
      </w:r>
      <w:r>
        <w:rPr>
          <w:b/>
        </w:rPr>
        <w:t>Figura 6.3</w:t>
      </w:r>
      <w:r>
        <w:t xml:space="preserve">, a decomposição da incerteza de saída nos painéis de barras empilhadas e gráfico de setores (pizza) revela quais clientes exercem maior influência sobre a variabilidade global do sistema. A métrica utilizada é a contribuição relativa dada por </w:t>
      </w:r>
      <m:oMath>
        <m:sSubSup>
          <m:e>
            <m:r>
              <m:t>u</m:t>
            </m:r>
          </m:e>
          <m:sub>
            <m:r>
              <m:t>i</m:t>
            </m:r>
          </m:sub>
          <m:sup>
            <m:r>
              <m:t>2</m:t>
            </m:r>
          </m:sup>
        </m:sSubSup>
        <m:r>
          <m:t>/∑</m:t>
        </m:r>
        <m:sSubSup>
          <m:e>
            <m:r>
              <m:t>u</m:t>
            </m:r>
          </m:e>
          <m:sub>
            <m:r>
              <m:t>i</m:t>
            </m:r>
          </m:sub>
          <m:sup>
            <m:r>
              <m:t>2</m:t>
            </m:r>
          </m:sup>
        </m:sSubSup>
      </m:oMath>
      <w:r>
        <w:t>.</w:t>
      </w:r>
    </w:p>
    <w:p>
      <w:r>
        <w:t>Observa-se que apenas três clientes concentram a maior parte da incerteza do distrito:</w:t>
      </w:r>
    </w:p>
    <w:p>
      <w:pPr>
        <w:pStyle w:val="ListNumber"/>
      </w:pPr>
      <w:r>
        <w:rPr>
          <w:b/>
        </w:rPr>
        <w:t>Coop. Taxi (33,5%)</w:t>
      </w:r>
      <w:r>
        <w:t>: É o principal detrator da qualidade metrológica do sistema.</w:t>
      </w:r>
    </w:p>
    <w:p>
      <w:pPr>
        <w:pStyle w:val="ListNumber"/>
      </w:pPr>
      <w:r>
        <w:rPr>
          <w:b/>
        </w:rPr>
        <w:t>C.B. Estireno (24,3%)</w:t>
      </w:r>
      <w:r>
        <w:t>: Representa quase um quarto da incerteza total.</w:t>
      </w:r>
    </w:p>
    <w:p>
      <w:pPr>
        <w:pStyle w:val="ListNumber"/>
      </w:pPr>
      <w:r>
        <w:rPr>
          <w:b/>
        </w:rPr>
        <w:t>Birla Carbon (20,5%)</w:t>
      </w:r>
      <w:r>
        <w:t>: Embora sua incerteza individual não tenha excedido 3%, sua contribuição ponderada é alta devido ao volume ou à natureza da variabilidade associada.</w:t>
      </w:r>
    </w:p>
    <w:p>
      <w:r>
        <w:t xml:space="preserve">Somados, estes três pontos de medição respondem por </w:t>
      </w:r>
      <w:r>
        <w:rPr>
          <w:b/>
        </w:rPr>
        <w:t>78,3% da incerteza total de saída</w:t>
      </w:r>
      <w:r>
        <w:t>. Em contrapartida, clientes como Yara Brasil (4,6%) e Unipar Carbo. (4,7%) possuem impacto marginal. Essa visualização confirma que esforços de melhoria técnica e manutenção devem ser priorizados nos pontos de maior contribuição percentual para reduzir efetivamente a incerteza combinada do distrito.</w:t>
      </w:r>
    </w:p>
    <w:p>
      <w:pPr>
        <w:pStyle w:val="Heading2"/>
      </w:pPr>
      <w:r>
        <w:t>Parecer Regulatório</w:t>
      </w:r>
    </w:p>
    <w:p>
      <w:r>
        <w:t xml:space="preserve">Com base na auditoria realizada sobre os dados de abril a setembro de 2025, o sistema de medição do distrito é classificado como </w:t>
      </w:r>
      <w:r>
        <w:rPr>
          <w:b/>
        </w:rPr>
        <w:t>NÃO CONFORME</w:t>
      </w:r>
      <w:r>
        <w:t>.</w:t>
      </w:r>
    </w:p>
    <w:p>
      <w:r>
        <w:t xml:space="preserve">Embora os pontos de entrada (Tramos 101 e 501) operem em níveis próximos ao limite de </w:t>
      </w:r>
      <w:r>
        <w:rPr>
          <w:b/>
        </w:rPr>
        <w:t>1,0%</w:t>
      </w:r>
      <w:r>
        <w:t xml:space="preserve"> para medição fiscal, a rede de distribuição apresenta deficiências estruturais que elevam a </w:t>
      </w:r>
      <w:r>
        <w:rPr>
          <w:b/>
        </w:rPr>
        <w:t>Incerteza Combinada de Saída</w:t>
      </w:r>
      <w:r>
        <w:t xml:space="preserve"> para o patamar crítico de </w:t>
      </w:r>
      <w:r>
        <w:rPr>
          <w:b/>
        </w:rPr>
        <w:t>6,19%</w:t>
      </w:r>
      <w:r>
        <w:t>. Este valor é tecnicamente inaceitável para a gestão eficiente de um ativo regulado, pois introduz um erro potencial no faturamento total que excede significativamente a precisão esperada para o setor.</w:t>
      </w:r>
    </w:p>
    <w:p>
      <w:r>
        <w:t xml:space="preserve">As não conformidades mais graves concentram-se na </w:t>
      </w:r>
      <w:r>
        <w:rPr>
          <w:b/>
        </w:rPr>
        <w:t>Empresa D (3,58%)</w:t>
      </w:r>
      <w:r>
        <w:t xml:space="preserve"> e na </w:t>
      </w:r>
      <w:r>
        <w:rPr>
          <w:b/>
        </w:rPr>
        <w:t>Empresa E (3,05%)</w:t>
      </w:r>
      <w:r>
        <w:t xml:space="preserve">, que operam acima do </w:t>
      </w:r>
      <w:r>
        <w:rPr>
          <w:b/>
        </w:rPr>
        <w:t>Limite de Apropriação de 3,00%</w:t>
      </w:r>
      <w:r>
        <w:t xml:space="preserve">. Além disso, a </w:t>
      </w:r>
      <w:r>
        <w:rPr>
          <w:b/>
        </w:rPr>
        <w:t>Empresa G (2,80%)</w:t>
      </w:r>
      <w:r>
        <w:t xml:space="preserve"> encontra-se em condição limítrofe, representando um risco iminente de desenquadramento.</w:t>
      </w:r>
    </w:p>
    <w:p>
      <w:r>
        <w:rPr>
          <w:b/>
        </w:rPr>
        <w:t>Ações Recomendadas:</w:t>
      </w:r>
    </w:p>
    <w:p>
      <w:pPr>
        <w:pStyle w:val="ListNumber"/>
      </w:pPr>
      <w:r>
        <w:rPr>
          <w:b/>
        </w:rPr>
        <w:t>Auditoria de Campo Imediata:</w:t>
      </w:r>
      <w:r>
        <w:t xml:space="preserve"> Realizar inspeção técnica nas estações de medição das Empresas D e E para verificar a adequação da tecnologia instalada frente ao perfil de consumo atual (vazão em </w:t>
      </w:r>
      <m:oMath>
        <m:f>
          <m:fPr>
            <m:type m:val="lin"/>
          </m:fPr>
          <m:num>
            <m:sSup>
              <m:e>
                <m:r>
                  <m:t>m</m:t>
                </m:r>
              </m:e>
              <m:sup>
                <m:r>
                  <m:t>3</m:t>
                </m:r>
              </m:sup>
            </m:sSup>
          </m:num>
          <m:den>
            <m:r>
              <m:t>h</m:t>
            </m:r>
          </m:den>
        </m:f>
      </m:oMath>
      <w:r>
        <w:t>). Deve-se investigar se os medidores estão operando abaixo da vazão mínima nominal (</w:t>
      </w:r>
      <m:oMath>
        <m:sSub>
          <m:e>
            <m:r>
              <m:t>Q</m:t>
            </m:r>
          </m:e>
          <m:sub>
            <m:r>
              <m:t>min</m:t>
            </m:r>
          </m:sub>
        </m:sSub>
      </m:oMath>
      <w:r>
        <w:t>).</w:t>
      </w:r>
    </w:p>
    <w:p>
      <w:pPr>
        <w:pStyle w:val="ListNumber"/>
      </w:pPr>
      <w:r>
        <w:rPr>
          <w:b/>
        </w:rPr>
        <w:t>Calibração de Transdutores:</w:t>
      </w:r>
      <w:r>
        <w:t xml:space="preserve"> Proceder com a calibração extraordinária dos sensores de pressão e temperatura, bem como dos computadores de vazão, dos três maiores detratores da incerteza (Coop. Taxi, C.B. Estireno e Birla Carbon), que juntos totalizam </w:t>
      </w:r>
      <w:r>
        <w:rPr>
          <w:b/>
        </w:rPr>
        <w:t>78,3%</w:t>
      </w:r>
      <w:r>
        <w:t xml:space="preserve"> da incerteza de saída.</w:t>
      </w:r>
    </w:p>
    <w:p>
      <w:pPr>
        <w:pStyle w:val="ListNumber"/>
      </w:pPr>
      <w:r>
        <w:rPr>
          <w:b/>
        </w:rPr>
        <w:t>Ajuste no Plano de Manutenção:</w:t>
      </w:r>
      <w:r>
        <w:t xml:space="preserve"> Implementar um cronograma de verificação metrológica mais rigoroso para o </w:t>
      </w:r>
      <w:r>
        <w:rPr>
          <w:b/>
        </w:rPr>
        <w:t>Tramo 101</w:t>
      </w:r>
      <w:r>
        <w:t xml:space="preserve"> e o </w:t>
      </w:r>
      <w:r>
        <w:rPr>
          <w:b/>
        </w:rPr>
        <w:t>Tramo 501</w:t>
      </w:r>
      <w:r>
        <w:t xml:space="preserve">, visando reenquadrar as incertezas de entrada rigorosamente abaixo de </w:t>
      </w:r>
      <w:r>
        <w:rPr>
          <w:b/>
        </w:rPr>
        <w:t>1,00%</w:t>
      </w:r>
      <w:r>
        <w:t>, conforme as melhores práticas de transferência de custódia.</w:t>
      </w:r>
    </w:p>
    <w:p>
      <w:pPr>
        <w:pStyle w:val="ListNumber"/>
      </w:pPr>
      <w:r>
        <w:rPr>
          <w:b/>
        </w:rPr>
        <w:t>Revisão do PCS:</w:t>
      </w:r>
      <w:r>
        <w:t xml:space="preserve"> Validar os procedimentos de coleta e análise do </w:t>
      </w:r>
      <w:r>
        <w:rPr>
          <w:b/>
        </w:rPr>
        <w:t>Poder Calorífico Superior (PCS)</w:t>
      </w:r>
      <w:r>
        <w:t xml:space="preserve"> para garantir que a incerteza da energia faturada não esteja sendo subestimada nos cálculos de apropriação.</w:t>
      </w:r>
    </w:p>
    <w:p>
      <w:r>
        <w:t>A manutenção do status atual de operação impede a correta apuração de perdas e pode resultar em prejuízos financeiros aos agentes do sistema ou aos consumidores finais, além de comprometer a fiscalização regulatória sobre a eficiência da distribuidora.</w:t>
      </w:r>
    </w:p>
    <w:p>
      <w:r>
        <w:br w:type="page"/>
      </w:r>
    </w:p>
    <w:p>
      <w:pPr>
        <w:pStyle w:val="Heading1"/>
      </w:pPr>
      <w:r>
        <w:t>7. Balanço de Massa com Bandas de Incerteza</w:t>
      </w:r>
    </w:p>
    <w:p>
      <w:r>
        <w:t xml:space="preserve">O Capítulo 7 dedica-se à verificação da integridade metrológica e operacional do distrito de distribuição por meio do Balanço de Massa com Bandas de Incerteza. Esta análise é fundamental para a regulação do setor, pois permite distinguir perdas físicas reais e erros sistemáticos de medição das variações estatísticas inerentes aos instrumentos de campo. A metodologia aplicada, baseada no princípio da conservação da massa e nas diretrizes do </w:t>
      </w:r>
      <w:r>
        <w:rPr>
          <w:b/>
        </w:rPr>
        <w:t>GUM</w:t>
      </w:r>
      <w:r>
        <w:t>, assegura que a contabilidade do gás injetado e faturado ocorra sob parâmetros técnicos rigorosos de confiabilidade.</w:t>
      </w:r>
    </w:p>
    <w:p>
      <w:r>
        <w:t xml:space="preserve">Os principais achados deste período indicam uma operação equilibrada, com uma diferença entre a entrada e o somatório das saídas de apenas </w:t>
      </w:r>
      <m:oMath>
        <m:r>
          <m:t>1,09%</m:t>
        </m:r>
      </m:oMath>
      <w:r>
        <w:t xml:space="preserve">. Este valor é acompanhado por uma análise de </w:t>
      </w:r>
      <w:r>
        <w:rPr>
          <w:b/>
        </w:rPr>
        <w:t>incerteza expandida</w:t>
      </w:r>
      <w:r>
        <w:t xml:space="preserve"> que demonstra a robustez dos sistemas de medição, especialmente no ponto de recebimento. A sobreposição das bandas de incerteza confirma que o balanço atende aos critérios de aceitação regulatórios, não havendo evidências de anomalias que comprometam a precisão comercial ou a segurança operacional da rede.</w:t>
      </w:r>
    </w:p>
    <w:p>
      <w:pPr>
        <w:spacing w:after="80"/>
      </w:pPr>
      <w:r>
        <w:rPr>
          <w:b/>
          <w:i/>
          <w:color w:val="1A237E"/>
          <w:sz w:val="20"/>
        </w:rPr>
        <w:t>Tabela 7.1: Resultado do Balanço de Massa</w:t>
      </w:r>
    </w:p>
    <w:tbl>
      <w:tblPr>
        <w:tblStyle w:val="TableGrid"/>
        <w:tblW w:type="auto" w:w="0"/>
        <w:jc w:val="center"/>
        <w:tblLook w:firstColumn="1" w:firstRow="1" w:lastColumn="0" w:lastRow="0" w:noHBand="0" w:noVBand="1" w:val="04A0"/>
      </w:tblPr>
      <w:tblGrid>
        <w:gridCol w:w="1824"/>
        <w:gridCol w:w="1824"/>
        <w:gridCol w:w="1824"/>
        <w:gridCol w:w="1824"/>
        <w:gridCol w:w="1824"/>
      </w:tblGrid>
      <w:tr>
        <w:tc>
          <w:tcPr>
            <w:tcW w:type="dxa" w:w="1824"/>
            <w:shd w:fill="1A237E"/>
          </w:tcPr>
          <w:p>
            <w:pPr>
              <w:jc w:val="center"/>
            </w:pPr>
            <w:r>
              <w:rPr>
                <w:b/>
                <w:color w:val="FFFFFF"/>
                <w:sz w:val="18"/>
              </w:rPr>
              <w:t>Item</w:t>
            </w:r>
          </w:p>
        </w:tc>
        <w:tc>
          <w:tcPr>
            <w:tcW w:type="dxa" w:w="1824"/>
            <w:shd w:fill="1A237E"/>
          </w:tcPr>
          <w:p>
            <w:pPr>
              <w:jc w:val="center"/>
            </w:pPr>
            <w:r>
              <w:rPr>
                <w:b/>
                <w:color w:val="FFFFFF"/>
                <w:sz w:val="18"/>
              </w:rPr>
              <w:t>Volume (Nm³)</w:t>
            </w:r>
          </w:p>
        </w:tc>
        <w:tc>
          <w:tcPr>
            <w:tcW w:type="dxa" w:w="1824"/>
            <w:shd w:fill="1A237E"/>
          </w:tcPr>
          <w:p>
            <w:pPr>
              <w:jc w:val="center"/>
            </w:pPr>
            <w:r>
              <w:rPr>
                <w:b/>
                <w:color w:val="FFFFFF"/>
                <w:sz w:val="18"/>
              </w:rPr>
              <w:t>Incerteza (%)</w:t>
            </w:r>
          </w:p>
        </w:tc>
        <w:tc>
          <w:tcPr>
            <w:tcW w:type="dxa" w:w="1824"/>
            <w:shd w:fill="1A237E"/>
          </w:tcPr>
          <w:p>
            <w:pPr>
              <w:jc w:val="center"/>
            </w:pPr>
            <w:r>
              <w:rPr>
                <w:b/>
                <w:color w:val="FFFFFF"/>
                <w:sz w:val="18"/>
              </w:rPr>
              <w:t>Banda Mín.</w:t>
            </w:r>
          </w:p>
        </w:tc>
        <w:tc>
          <w:tcPr>
            <w:tcW w:type="dxa" w:w="1824"/>
            <w:shd w:fill="1A237E"/>
          </w:tcPr>
          <w:p>
            <w:pPr>
              <w:jc w:val="center"/>
            </w:pPr>
            <w:r>
              <w:rPr>
                <w:b/>
                <w:color w:val="FFFFFF"/>
                <w:sz w:val="18"/>
              </w:rPr>
              <w:t>Banda Máx.</w:t>
            </w:r>
          </w:p>
        </w:tc>
      </w:tr>
      <w:tr>
        <w:tc>
          <w:tcPr>
            <w:tcW w:type="dxa" w:w="1824"/>
            <w:shd w:fill="F5F5F5"/>
          </w:tcPr>
          <w:p>
            <w:r>
              <w:rPr>
                <w:sz w:val="18"/>
              </w:rPr>
              <w:t>Entrada Total</w:t>
            </w:r>
          </w:p>
        </w:tc>
        <w:tc>
          <w:tcPr>
            <w:tcW w:type="dxa" w:w="1824"/>
            <w:shd w:fill="F5F5F5"/>
          </w:tcPr>
          <w:p>
            <w:r>
              <w:rPr>
                <w:sz w:val="18"/>
              </w:rPr>
              <w:t>182,919,850</w:t>
            </w:r>
          </w:p>
        </w:tc>
        <w:tc>
          <w:tcPr>
            <w:tcW w:type="dxa" w:w="1824"/>
            <w:shd w:fill="F5F5F5"/>
          </w:tcPr>
          <w:p>
            <w:r>
              <w:rPr>
                <w:sz w:val="18"/>
              </w:rPr>
              <w:t>1.52</w:t>
            </w:r>
          </w:p>
        </w:tc>
        <w:tc>
          <w:tcPr>
            <w:tcW w:type="dxa" w:w="1824"/>
            <w:shd w:fill="F5F5F5"/>
          </w:tcPr>
          <w:p>
            <w:r>
              <w:rPr>
                <w:sz w:val="18"/>
              </w:rPr>
              <w:t>180,138,686</w:t>
            </w:r>
          </w:p>
        </w:tc>
        <w:tc>
          <w:tcPr>
            <w:tcW w:type="dxa" w:w="1824"/>
            <w:shd w:fill="F5F5F5"/>
          </w:tcPr>
          <w:p>
            <w:r>
              <w:rPr>
                <w:sz w:val="18"/>
              </w:rPr>
              <w:t>185,701,014</w:t>
            </w:r>
          </w:p>
        </w:tc>
      </w:tr>
      <w:tr>
        <w:tc>
          <w:tcPr>
            <w:tcW w:type="dxa" w:w="1824"/>
          </w:tcPr>
          <w:p>
            <w:r>
              <w:rPr>
                <w:sz w:val="18"/>
              </w:rPr>
              <w:t>Saída Total</w:t>
            </w:r>
          </w:p>
        </w:tc>
        <w:tc>
          <w:tcPr>
            <w:tcW w:type="dxa" w:w="1824"/>
          </w:tcPr>
          <w:p>
            <w:r>
              <w:rPr>
                <w:sz w:val="18"/>
              </w:rPr>
              <w:t>180,923,440</w:t>
            </w:r>
          </w:p>
        </w:tc>
        <w:tc>
          <w:tcPr>
            <w:tcW w:type="dxa" w:w="1824"/>
          </w:tcPr>
          <w:p>
            <w:r>
              <w:rPr>
                <w:sz w:val="18"/>
              </w:rPr>
              <w:t>6.19</w:t>
            </w:r>
          </w:p>
        </w:tc>
        <w:tc>
          <w:tcPr>
            <w:tcW w:type="dxa" w:w="1824"/>
          </w:tcPr>
          <w:p>
            <w:r>
              <w:rPr>
                <w:sz w:val="18"/>
              </w:rPr>
              <w:t>169,725,770</w:t>
            </w:r>
          </w:p>
        </w:tc>
        <w:tc>
          <w:tcPr>
            <w:tcW w:type="dxa" w:w="1824"/>
          </w:tcPr>
          <w:p>
            <w:r>
              <w:rPr>
                <w:sz w:val="18"/>
              </w:rPr>
              <w:t>192,121,110</w:t>
            </w:r>
          </w:p>
        </w:tc>
      </w:tr>
      <w:tr>
        <w:tc>
          <w:tcPr>
            <w:tcW w:type="dxa" w:w="1824"/>
            <w:shd w:fill="F5F5F5"/>
          </w:tcPr>
          <w:p>
            <w:r>
              <w:rPr>
                <w:sz w:val="18"/>
              </w:rPr>
              <w:t>Diferença</w:t>
            </w:r>
          </w:p>
        </w:tc>
        <w:tc>
          <w:tcPr>
            <w:tcW w:type="dxa" w:w="1824"/>
            <w:shd w:fill="F5F5F5"/>
          </w:tcPr>
          <w:p>
            <w:r>
              <w:rPr>
                <w:sz w:val="18"/>
              </w:rPr>
              <w:t>1,996,410</w:t>
            </w:r>
          </w:p>
        </w:tc>
        <w:tc>
          <w:tcPr>
            <w:tcW w:type="dxa" w:w="1824"/>
            <w:shd w:fill="F5F5F5"/>
          </w:tcPr>
          <w:p>
            <w:r>
              <w:rPr>
                <w:sz w:val="18"/>
              </w:rPr>
              <w:t>1.09%</w:t>
            </w:r>
          </w:p>
        </w:tc>
        <w:tc>
          <w:tcPr>
            <w:tcW w:type="dxa" w:w="1824"/>
            <w:shd w:fill="F5F5F5"/>
          </w:tcPr>
          <w:p>
            <w:r>
              <w:rPr>
                <w:sz w:val="18"/>
              </w:rPr>
            </w:r>
          </w:p>
        </w:tc>
        <w:tc>
          <w:tcPr>
            <w:tcW w:type="dxa" w:w="1824"/>
            <w:shd w:fill="F5F5F5"/>
          </w:tcPr>
          <w:p>
            <w:r>
              <w:rPr>
                <w:sz w:val="18"/>
              </w:rPr>
              <w:t>ACEITAVEL</w:t>
            </w:r>
          </w:p>
        </w:tc>
      </w:tr>
    </w:tbl>
    <w:p/>
    <w:p>
      <w:pPr>
        <w:pStyle w:val="Heading2"/>
      </w:pPr>
      <w:r>
        <w:t>Fundamentação Teórica</w:t>
      </w:r>
    </w:p>
    <w:p>
      <w:r>
        <w:t xml:space="preserve">A análise da integridade operacional e comercial de um distrito de distribuição de gás natural fundamenta-se no princípio da conservação da massa, aplicado sob a forma de </w:t>
      </w:r>
      <w:r>
        <w:rPr>
          <w:b/>
        </w:rPr>
        <w:t>balanço volumétrico</w:t>
      </w:r>
      <w:r>
        <w:t>. Este procedimento consiste no confronto sistemático entre o volume de gás injetado no sistema e o somatório dos volumes aferidos nos pontos de entrega aos consumidores finais, devidamente corrigidos para as condições de referência.</w:t>
      </w:r>
    </w:p>
    <w:p>
      <w:pPr>
        <w:pStyle w:val="Heading3"/>
      </w:pPr>
      <w:r>
        <w:t>7.1.1. Conversão de Volumes e Condições de Referência</w:t>
      </w:r>
    </w:p>
    <w:p>
      <w:r>
        <w:t xml:space="preserve">Para que o balanço seja tecnicamente válido, é imperativo que todos os volumes sejam expressos nas mesmas condições de base (referência). No setor de gás natural, utiliza-se o </w:t>
      </w:r>
      <w:r>
        <w:rPr>
          <w:b/>
        </w:rPr>
        <w:t>Metro Cúbico Normal (Nm³)</w:t>
      </w:r>
      <w:r>
        <w:t xml:space="preserve">, definido conforme as condições de pressão de </w:t>
      </w:r>
      <m:oMath>
        <m:r>
          <m:t>101.325</m:t>
        </m:r>
      </m:oMath>
      <w:r>
        <w:t xml:space="preserve"> Pa (</w:t>
      </w:r>
      <m:oMath>
        <m:r>
          <m:t>1,01325</m:t>
        </m:r>
      </m:oMath>
      <w:r>
        <w:t xml:space="preserve"> bar) e temperatura de </w:t>
      </w:r>
      <m:oMath>
        <m:r>
          <m:t>273,15</m:t>
        </m:r>
      </m:oMath>
      <w:r>
        <w:t xml:space="preserve"> K (</w:t>
      </w:r>
      <m:oMath>
        <m:r>
          <m:t>0</m:t>
        </m:r>
      </m:oMath>
      <w:r>
        <w:t xml:space="preserve"> °C), ou as condições estabelecidas pelo órgão regulador competente.</w:t>
      </w:r>
    </w:p>
    <w:p>
      <w:r>
        <w:t>A conversão dos volumes medidos nas condições de linha (</w:t>
      </w:r>
      <m:oMath>
        <m:sSub>
          <m:e>
            <m:r>
              <m:t>V</m:t>
            </m:r>
          </m:e>
          <m:sub>
            <m:r>
              <m:t>l</m:t>
            </m:r>
          </m:sub>
        </m:sSub>
      </m:oMath>
      <w:r>
        <w:t>) para as condições de base (</w:t>
      </w:r>
      <m:oMath>
        <m:sSub>
          <m:e>
            <m:r>
              <m:t>V</m:t>
            </m:r>
          </m:e>
          <m:sub>
            <m:r>
              <m:t>b</m:t>
            </m:r>
          </m:sub>
        </m:sSub>
      </m:oMath>
      <w:r>
        <w:t xml:space="preserve">) é realizada através da aplicação do fator de correção </w:t>
      </w:r>
      <m:oMath>
        <m:r>
          <m:t>C</m:t>
        </m:r>
      </m:oMath>
      <w:r>
        <w:t>, que contempla as variáveis de pressão (</w:t>
      </w:r>
      <m:oMath>
        <m:r>
          <m:t>P</m:t>
        </m:r>
      </m:oMath>
      <w:r>
        <w:t>), temperatura (</w:t>
      </w:r>
      <m:oMath>
        <m:r>
          <m:t>T</m:t>
        </m:r>
      </m:oMath>
      <w:r>
        <w:t xml:space="preserve">) e o </w:t>
      </w:r>
      <w:r>
        <w:rPr>
          <w:b/>
        </w:rPr>
        <w:t>fator de compressibilidade</w:t>
      </w:r>
      <w:r>
        <w:t xml:space="preserve"> (</w:t>
      </w:r>
      <m:oMath>
        <m:r>
          <m:t>Z</m:t>
        </m:r>
      </m:oMath>
      <w:r>
        <w:t>), conforme a equação fundamental:</w:t>
      </w:r>
    </w:p>
    <w:p>
      <w:pPr>
        <w:jc w:val="center"/>
      </w:pPr>
      <m:oMath>
        <m:sSub>
          <m:e>
            <m:r>
              <m:t>V</m:t>
            </m:r>
          </m:e>
          <m:sub>
            <m:r>
              <m:t>b</m:t>
            </m:r>
          </m:sub>
        </m:sSub>
        <m:r>
          <m:t>=</m:t>
        </m:r>
        <m:sSub>
          <m:e>
            <m:r>
              <m:t>V</m:t>
            </m:r>
          </m:e>
          <m:sub>
            <m:r>
              <m:t>l</m:t>
            </m:r>
          </m:sub>
        </m:sSub>
        <m:r>
          <m:t>×</m:t>
        </m:r>
        <m:f>
          <m:fPr>
            <m:type m:val="bar"/>
          </m:fPr>
          <m:num>
            <m:sSub>
              <m:e>
                <m:r>
                  <m:t>P</m:t>
                </m:r>
              </m:e>
              <m:sub>
                <m:r>
                  <m:t>linha</m:t>
                </m:r>
              </m:sub>
            </m:sSub>
          </m:num>
          <m:den>
            <m:sSub>
              <m:e>
                <m:r>
                  <m:t>P</m:t>
                </m:r>
              </m:e>
              <m:sub>
                <m:r>
                  <m:t>base</m:t>
                </m:r>
              </m:sub>
            </m:sSub>
          </m:den>
        </m:f>
        <m:r>
          <m:t>×</m:t>
        </m:r>
        <m:f>
          <m:fPr>
            <m:type m:val="bar"/>
          </m:fPr>
          <m:num>
            <m:sSub>
              <m:e>
                <m:r>
                  <m:t>T</m:t>
                </m:r>
              </m:e>
              <m:sub>
                <m:r>
                  <m:t>base</m:t>
                </m:r>
              </m:sub>
            </m:sSub>
          </m:num>
          <m:den>
            <m:sSub>
              <m:e>
                <m:r>
                  <m:t>T</m:t>
                </m:r>
              </m:e>
              <m:sub>
                <m:r>
                  <m:t>linha</m:t>
                </m:r>
              </m:sub>
            </m:sSub>
          </m:den>
        </m:f>
        <m:r>
          <m:t>×</m:t>
        </m:r>
        <m:f>
          <m:fPr>
            <m:type m:val="bar"/>
          </m:fPr>
          <m:num>
            <m:sSub>
              <m:e>
                <m:r>
                  <m:t>Z</m:t>
                </m:r>
              </m:e>
              <m:sub>
                <m:r>
                  <m:t>base</m:t>
                </m:r>
              </m:sub>
            </m:sSub>
          </m:num>
          <m:den>
            <m:sSub>
              <m:e>
                <m:r>
                  <m:t>Z</m:t>
                </m:r>
              </m:e>
              <m:sub>
                <m:r>
                  <m:t>linha</m:t>
                </m:r>
              </m:sub>
            </m:sSub>
          </m:den>
        </m:f>
      </m:oMath>
    </w:p>
    <w:p>
      <w:r>
        <w:t xml:space="preserve">O cálculo do fator de compressibilidade deve seguir métodos reconhecidos internacionalmente, como a </w:t>
      </w:r>
      <w:r>
        <w:rPr>
          <w:b/>
        </w:rPr>
        <w:t>AGA 8</w:t>
      </w:r>
      <w:r>
        <w:t xml:space="preserve"> ou </w:t>
      </w:r>
      <w:r>
        <w:rPr>
          <w:b/>
        </w:rPr>
        <w:t>SGERG</w:t>
      </w:r>
      <w:r>
        <w:t>, garantindo que as propriedades termodinâmicas do fluido sejam respeitadas.</w:t>
      </w:r>
    </w:p>
    <w:p>
      <w:pPr>
        <w:pStyle w:val="Heading3"/>
      </w:pPr>
      <w:r>
        <w:t>7.1.2. Cálculo do Balanço e Diferença Percentual</w:t>
      </w:r>
    </w:p>
    <w:p>
      <w:r>
        <w:t xml:space="preserve">A discrepância volumétrica, comumente denominada </w:t>
      </w:r>
      <w:r>
        <w:rPr>
          <w:b/>
        </w:rPr>
        <w:t>Unaccounted For Gas (UFG)</w:t>
      </w:r>
      <w:r>
        <w:t xml:space="preserve"> ou Gás Não Contabilizado, é expressa pela diferença percentual entre a entrada e a saída do sistema. Matematicamente, a relação é definida por:</w:t>
      </w:r>
    </w:p>
    <w:p>
      <w:pPr>
        <w:jc w:val="center"/>
      </w:pPr>
      <m:oMath>
        <m:r>
          <m:rPr>
            <m:nor/>
          </m:rPr>
          <m:t>Dif\%</m:t>
        </m:r>
        <m:r>
          <m:t>=</m:t>
        </m:r>
        <m:f>
          <m:fPr>
            <m:type m:val="bar"/>
          </m:fPr>
          <m:num>
            <m:sSub>
              <m:e>
                <m:r>
                  <m:t>V</m:t>
                </m:r>
              </m:e>
              <m:sub>
                <m:r>
                  <m:t>entrada</m:t>
                </m:r>
              </m:sub>
            </m:sSub>
            <m:r>
              <m:t>−∑</m:t>
            </m:r>
            <m:sSub>
              <m:e>
                <m:r>
                  <m:t>V</m:t>
                </m:r>
              </m:e>
              <m:sub>
                <m:r>
                  <m:t>saída</m:t>
                </m:r>
              </m:sub>
            </m:sSub>
          </m:num>
          <m:den>
            <m:sSub>
              <m:e>
                <m:r>
                  <m:t>V</m:t>
                </m:r>
              </m:e>
              <m:sub>
                <m:r>
                  <m:t>entrada</m:t>
                </m:r>
              </m:sub>
            </m:sSub>
          </m:den>
        </m:f>
        <m:r>
          <m:t>×100</m:t>
        </m:r>
      </m:oMath>
    </w:p>
    <w:p>
      <w:r>
        <w:t>Onde:</w:t>
      </w:r>
    </w:p>
    <w:p>
      <w:pPr>
        <w:pStyle w:val="ListBullet"/>
      </w:pPr>
      <w:r>
        <w:t xml:space="preserve">  </w:t>
      </w:r>
      <m:oMath>
        <m:sSub>
          <m:e>
            <m:r>
              <m:t>V</m:t>
            </m:r>
          </m:e>
          <m:sub>
            <m:r>
              <m:t>entrada</m:t>
            </m:r>
          </m:sub>
        </m:sSub>
      </m:oMath>
      <w:r>
        <w:t xml:space="preserve">: Volume total medido no City-Gate ou Ponto de Recebimento em </w:t>
      </w:r>
      <w:r>
        <w:rPr>
          <w:b/>
        </w:rPr>
        <w:t>Nm³</w:t>
      </w:r>
      <w:r>
        <w:t>.</w:t>
      </w:r>
    </w:p>
    <w:p>
      <w:pPr>
        <w:pStyle w:val="ListBullet"/>
      </w:pPr>
      <w:r>
        <w:t xml:space="preserve">  </w:t>
      </w:r>
      <m:oMath>
        <m:r>
          <m:t>∑</m:t>
        </m:r>
        <m:sSub>
          <m:e>
            <m:r>
              <m:t>V</m:t>
            </m:r>
          </m:e>
          <m:sub>
            <m:r>
              <m:t>saída</m:t>
            </m:r>
          </m:sub>
        </m:sSub>
      </m:oMath>
      <w:r>
        <w:t xml:space="preserve">: Somatório dos volumes medidos em todos os pontos de consumo e ramificações em </w:t>
      </w:r>
      <w:r>
        <w:rPr>
          <w:b/>
        </w:rPr>
        <w:t>Nm³</w:t>
      </w:r>
      <w:r>
        <w:t>.</w:t>
      </w:r>
    </w:p>
    <w:p>
      <w:pPr>
        <w:pStyle w:val="Heading3"/>
      </w:pPr>
      <w:r>
        <w:t>7.1.3. Metrologia e Bandas de Incerteza</w:t>
      </w:r>
    </w:p>
    <w:p>
      <w:r>
        <w:t xml:space="preserve">Em metrologia legal e industrial, nenhum processo de medição é isento de erro. Cada componente da malha de medição — medidores de vazão (turbina, placa de orifício, ultrassônico ou rotativo), transmissores de pressão e temperatura, e computadores de vazão — contribui para a </w:t>
      </w:r>
      <w:r>
        <w:rPr>
          <w:b/>
        </w:rPr>
        <w:t>incerteza expandida</w:t>
      </w:r>
      <w:r>
        <w:t xml:space="preserve"> (</w:t>
      </w:r>
      <m:oMath>
        <m:r>
          <m:t>U</m:t>
        </m:r>
      </m:oMath>
      <w:r>
        <w:t>) do sistema.</w:t>
      </w:r>
    </w:p>
    <w:p>
      <w:r>
        <w:t xml:space="preserve">A determinação da incerteza combinada segue as diretrizes do </w:t>
      </w:r>
      <w:r>
        <w:rPr>
          <w:b/>
        </w:rPr>
        <w:t>Guia para a Expressão da Incerteza de Medição (GUM)</w:t>
      </w:r>
      <w:r>
        <w:t xml:space="preserve">, utilizando o método da </w:t>
      </w:r>
      <w:r>
        <w:rPr>
          <w:b/>
        </w:rPr>
        <w:t>Raiz da Soma dos Quadrados (RSS - Root Sum Square)</w:t>
      </w:r>
      <w:r>
        <w:t xml:space="preserve"> para combinar as incertezas de cada variável independente.</w:t>
      </w:r>
    </w:p>
    <w:p>
      <w:r>
        <w:t xml:space="preserve">Para cada volume medido, definem-se os limites do intervalo de abrangência, denominados </w:t>
      </w:r>
      <w:r>
        <w:rPr>
          <w:b/>
        </w:rPr>
        <w:t>Bandas de Incerteza</w:t>
      </w:r>
      <w:r>
        <w:t>:</w:t>
      </w:r>
    </w:p>
    <w:p>
      <w:pPr>
        <w:pStyle w:val="ListBullet"/>
      </w:pPr>
      <w:r>
        <w:t xml:space="preserve">  </w:t>
      </w:r>
      <w:r>
        <w:rPr>
          <w:b/>
        </w:rPr>
        <w:t>Volume Mínimo Probável ($V_{min}$):</w:t>
      </w:r>
      <w:r>
        <w:t xml:space="preserve"> </w:t>
      </w:r>
      <m:oMath>
        <m:sSub>
          <m:e>
            <m:r>
              <m:t>V</m:t>
            </m:r>
          </m:e>
          <m:sub>
            <m:r>
              <m:t>min</m:t>
            </m:r>
          </m:sub>
        </m:sSub>
        <m:r>
          <m:t>=V×(1−U%)</m:t>
        </m:r>
      </m:oMath>
    </w:p>
    <w:p>
      <w:pPr>
        <w:pStyle w:val="ListBullet"/>
      </w:pPr>
      <w:r>
        <w:t xml:space="preserve">  </w:t>
      </w:r>
      <w:r>
        <w:rPr>
          <w:b/>
        </w:rPr>
        <w:t>Volume Máximo Probável ($V_{max}$):</w:t>
      </w:r>
      <w:r>
        <w:t xml:space="preserve"> </w:t>
      </w:r>
      <m:oMath>
        <m:sSub>
          <m:e>
            <m:r>
              <m:t>V</m:t>
            </m:r>
          </m:e>
          <m:sub>
            <m:r>
              <m:t>max</m:t>
            </m:r>
          </m:sub>
        </m:sSub>
        <m:r>
          <m:t>=V×(1+U%)</m:t>
        </m:r>
      </m:oMath>
    </w:p>
    <w:p>
      <w:pPr>
        <w:pStyle w:val="Heading3"/>
      </w:pPr>
      <w:r>
        <w:t>7.1.4. Critério de Aceitação por Sobreposição de Bandas</w:t>
      </w:r>
    </w:p>
    <w:p>
      <w:r>
        <w:t xml:space="preserve">O julgamento técnico sobre a conformidade do balanço de massa não deve se basear na diferença nominal nula, mas sim na coexistência estatística dos valores dentro das respectivas faixas de incerteza. O </w:t>
      </w:r>
      <w:r>
        <w:rPr>
          <w:b/>
        </w:rPr>
        <w:t>critério de aceitação</w:t>
      </w:r>
      <w:r>
        <w:t xml:space="preserve"> é definido pela sobreposição (interseção) entre a banda de incerteza da medição de entrada e a banda de incerteza da medição de saída.</w:t>
      </w:r>
    </w:p>
    <w:tbl>
      <w:tblPr>
        <w:tblStyle w:val="TableGrid"/>
        <w:tblW w:type="auto" w:w="0"/>
        <w:jc w:val="center"/>
        <w:tblLook w:firstColumn="1" w:firstRow="1" w:lastColumn="0" w:lastRow="0" w:noHBand="0" w:noVBand="1" w:val="04A0"/>
      </w:tblPr>
      <w:tblGrid>
        <w:gridCol w:w="3041"/>
        <w:gridCol w:w="3041"/>
        <w:gridCol w:w="3041"/>
      </w:tblGrid>
      <w:tr>
        <w:tc>
          <w:tcPr>
            <w:tcW w:type="dxa" w:w="3041"/>
            <w:shd w:fill="1A237E"/>
          </w:tcPr>
          <w:p>
            <w:pPr>
              <w:jc w:val="center"/>
            </w:pPr>
            <w:r>
              <w:rPr>
                <w:b/>
                <w:color w:val="FFFFFF"/>
                <w:sz w:val="18"/>
              </w:rPr>
              <w:t>Condição Técnica</w:t>
            </w:r>
          </w:p>
        </w:tc>
        <w:tc>
          <w:tcPr>
            <w:tcW w:type="dxa" w:w="3041"/>
            <w:shd w:fill="1A237E"/>
          </w:tcPr>
          <w:p>
            <w:pPr>
              <w:jc w:val="center"/>
            </w:pPr>
            <w:r>
              <w:rPr>
                <w:b/>
                <w:color w:val="FFFFFF"/>
                <w:sz w:val="18"/>
              </w:rPr>
              <w:t>Interpretação Metrológica</w:t>
            </w:r>
          </w:p>
        </w:tc>
        <w:tc>
          <w:tcPr>
            <w:tcW w:type="dxa" w:w="3041"/>
            <w:shd w:fill="1A237E"/>
          </w:tcPr>
          <w:p>
            <w:pPr>
              <w:jc w:val="center"/>
            </w:pPr>
            <w:r>
              <w:rPr>
                <w:b/>
                <w:color w:val="FFFFFF"/>
                <w:sz w:val="18"/>
              </w:rPr>
              <w:t>Conclusão</w:t>
            </w:r>
          </w:p>
        </w:tc>
      </w:tr>
      <w:tr>
        <w:tc>
          <w:tcPr>
            <w:tcW w:type="dxa" w:w="3041"/>
            <w:shd w:fill="F5F5F5"/>
          </w:tcPr>
          <w:p>
            <w:r>
              <w:rPr>
                <w:sz w:val="18"/>
              </w:rPr>
              <w:t>Sobreposição de Bandas</w:t>
            </w:r>
          </w:p>
        </w:tc>
        <w:tc>
          <w:tcPr>
            <w:tcW w:type="dxa" w:w="3041"/>
            <w:shd w:fill="F5F5F5"/>
          </w:tcPr>
          <w:p>
            <w:r>
              <w:rPr>
                <w:sz w:val="18"/>
              </w:rPr>
              <w:t>A diferença nominal situa-se dentro dos limites combinados de incerteza do sistema.</w:t>
            </w:r>
          </w:p>
        </w:tc>
        <w:tc>
          <w:tcPr>
            <w:tcW w:type="dxa" w:w="3041"/>
            <w:shd w:fill="F5F5F5"/>
          </w:tcPr>
          <w:p>
            <w:r>
              <w:rPr>
                <w:sz w:val="18"/>
              </w:rPr>
              <w:t>Balanço Aceitável (Fechamento Metrológico)</w:t>
            </w:r>
          </w:p>
        </w:tc>
      </w:tr>
      <w:tr>
        <w:tc>
          <w:tcPr>
            <w:tcW w:type="dxa" w:w="3041"/>
          </w:tcPr>
          <w:p>
            <w:r>
              <w:rPr>
                <w:sz w:val="18"/>
              </w:rPr>
              <w:t>Ausência de Sobreposição</w:t>
            </w:r>
          </w:p>
        </w:tc>
        <w:tc>
          <w:tcPr>
            <w:tcW w:type="dxa" w:w="3041"/>
          </w:tcPr>
          <w:p>
            <w:r>
              <w:rPr>
                <w:sz w:val="18"/>
              </w:rPr>
              <w:t>A diferença nominal excede a incerteza estatística máxima esperada para os instrumentos.</w:t>
            </w:r>
          </w:p>
        </w:tc>
        <w:tc>
          <w:tcPr>
            <w:tcW w:type="dxa" w:w="3041"/>
          </w:tcPr>
          <w:p>
            <w:r>
              <w:rPr>
                <w:sz w:val="18"/>
              </w:rPr>
              <w:t>Balanço Não Aceitável (Diferença Significativa)</w:t>
            </w:r>
          </w:p>
        </w:tc>
      </w:tr>
    </w:tbl>
    <w:p/>
    <w:p>
      <w:r>
        <w:t xml:space="preserve">A ausência de sobreposição indica a presença de </w:t>
      </w:r>
      <w:r>
        <w:rPr>
          <w:b/>
        </w:rPr>
        <w:t>erros sistemáticos</w:t>
      </w:r>
      <w:r>
        <w:t>, que podem advir de:</w:t>
      </w:r>
    </w:p>
    <w:p>
      <w:pPr>
        <w:pStyle w:val="ListNumber"/>
      </w:pPr>
      <w:r>
        <w:rPr>
          <w:b/>
        </w:rPr>
        <w:t>Perdas Físicas:</w:t>
      </w:r>
      <w:r>
        <w:t xml:space="preserve"> Vazamentos reais na malha de distribuição.</w:t>
      </w:r>
    </w:p>
    <w:p>
      <w:pPr>
        <w:pStyle w:val="ListNumber"/>
      </w:pPr>
      <w:r>
        <w:rPr>
          <w:b/>
        </w:rPr>
        <w:t>Degradação de Ativos:</w:t>
      </w:r>
      <w:r>
        <w:t xml:space="preserve"> Desgaste mecânico de medidores ou deriva de sensores de pressão e temperatura.</w:t>
      </w:r>
    </w:p>
    <w:p>
      <w:pPr>
        <w:pStyle w:val="ListNumber"/>
      </w:pPr>
      <w:r>
        <w:rPr>
          <w:b/>
        </w:rPr>
        <w:t>Inconformidades de Parametrização:</w:t>
      </w:r>
      <w:r>
        <w:t xml:space="preserve"> Erros na configuração do </w:t>
      </w:r>
      <w:r>
        <w:rPr>
          <w:b/>
        </w:rPr>
        <w:t>PCS (Poder Calorífico Superior)</w:t>
      </w:r>
      <w:r>
        <w:t>, densidade relativa ou composição do gás nos computadores de vazão.</w:t>
      </w:r>
    </w:p>
    <w:p>
      <w:pPr>
        <w:pStyle w:val="ListNumber"/>
      </w:pPr>
      <w:r>
        <w:rPr>
          <w:b/>
        </w:rPr>
        <w:t>Incerteza não Quantificada:</w:t>
      </w:r>
      <w:r>
        <w:t xml:space="preserve"> Falhas na estimativa da incerteza de medição para medidores de baixa pressão em consumidores finais.</w:t>
      </w:r>
    </w:p>
    <w:p>
      <w:r>
        <w:t>Dessa forma, a banda de incerteza funciona como um filtro técnico que separa a variação estatística inerente aos instrumentos de eventuais anomalias operacionais que demandem intervenção corretiva.</w:t>
      </w:r>
    </w:p>
    <w:p>
      <w:pPr>
        <w:pStyle w:val="Heading2"/>
      </w:pPr>
      <w:r>
        <w:t>Análise dos Dados</w:t>
      </w:r>
    </w:p>
    <w:p>
      <w:r>
        <w:t xml:space="preserve">A análise do balanço de massa para o distrito de distribuição, referente ao período de abril a setembro de 2025, revela uma movimentação total de entrada de </w:t>
      </w:r>
      <m:oMath>
        <m:r>
          <m:t>182.919</m:t>
        </m:r>
        <m:r>
          <m:rPr>
            <m:sty m:val="p"/>
          </m:rPr>
          <m:t>.850</m:t>
        </m:r>
        <m:sSup>
          <m:e>
            <m:r>
              <m:rPr>
                <m:nor/>
              </m:rPr>
              <m:t> Nm</m:t>
            </m:r>
          </m:e>
          <m:sup>
            <m:r>
              <m:t>3</m:t>
            </m:r>
          </m:sup>
        </m:sSup>
      </m:oMath>
      <w:r>
        <w:t xml:space="preserve"> frente a um volume total faturado na saída de </w:t>
      </w:r>
      <m:oMath>
        <m:r>
          <m:t>180.923</m:t>
        </m:r>
        <m:r>
          <m:rPr>
            <m:sty m:val="p"/>
          </m:rPr>
          <m:t>.440</m:t>
        </m:r>
        <m:sSup>
          <m:e>
            <m:r>
              <m:rPr>
                <m:nor/>
              </m:rPr>
              <m:t> Nm</m:t>
            </m:r>
          </m:e>
          <m:sup>
            <m:r>
              <m:t>3</m:t>
            </m:r>
          </m:sup>
        </m:sSup>
      </m:oMath>
      <w:r>
        <w:t xml:space="preserve">. Esta configuração resulta em uma diferença absoluta de </w:t>
      </w:r>
      <m:oMath>
        <m:r>
          <m:t>1.996</m:t>
        </m:r>
        <m:r>
          <m:rPr>
            <m:sty m:val="p"/>
          </m:rPr>
          <m:t>.410</m:t>
        </m:r>
        <m:sSup>
          <m:e>
            <m:r>
              <m:rPr>
                <m:nor/>
              </m:rPr>
              <m:t> Nm</m:t>
            </m:r>
          </m:e>
          <m:sup>
            <m:r>
              <m:t>3</m:t>
            </m:r>
          </m:sup>
        </m:sSup>
      </m:oMath>
      <w:r>
        <w:t xml:space="preserve">, o que representa um desvio percentual de </w:t>
      </w:r>
      <w:r>
        <w:rPr>
          <w:b/>
        </w:rPr>
        <w:t>1,09%</w:t>
      </w:r>
      <w:r>
        <w:t xml:space="preserve"> em relação ao volume de entrada.</w:t>
      </w:r>
    </w:p>
    <w:p>
      <w:pPr>
        <w:pStyle w:val="Heading3"/>
      </w:pPr>
      <w:r>
        <w:t>Segregação da Demanda por Ponto de Consumo</w:t>
      </w:r>
    </w:p>
    <w:p>
      <w:r>
        <w:t xml:space="preserve">A distribuição do volume de saída apresenta uma elevada concentração de demanda, onde dois consumidores principais detêm </w:t>
      </w:r>
      <w:r>
        <w:rPr>
          <w:b/>
        </w:rPr>
        <w:t>81,6%</w:t>
      </w:r>
      <w:r>
        <w:t xml:space="preserve"> do volume total escoado. A tabela abaixo detalha a participação de cada unidade consumidora no balanço do distrito:</w:t>
      </w:r>
    </w:p>
    <w:tbl>
      <w:tblPr>
        <w:tblStyle w:val="TableGrid"/>
        <w:tblW w:type="auto" w:w="0"/>
        <w:jc w:val="center"/>
        <w:tblLook w:firstColumn="1" w:firstRow="1" w:lastColumn="0" w:lastRow="0" w:noHBand="0" w:noVBand="1" w:val="04A0"/>
      </w:tblPr>
      <w:tblGrid>
        <w:gridCol w:w="3041"/>
        <w:gridCol w:w="3041"/>
        <w:gridCol w:w="3041"/>
      </w:tblGrid>
      <w:tr>
        <w:tc>
          <w:tcPr>
            <w:tcW w:type="dxa" w:w="3041"/>
            <w:shd w:fill="1A237E"/>
          </w:tcPr>
          <w:p>
            <w:pPr>
              <w:jc w:val="center"/>
            </w:pPr>
            <w:r>
              <w:rPr>
                <w:b/>
                <w:color w:val="FFFFFF"/>
                <w:sz w:val="18"/>
              </w:rPr>
              <w:t>Cliente</w:t>
            </w:r>
          </w:p>
        </w:tc>
        <w:tc>
          <w:tcPr>
            <w:tcW w:type="dxa" w:w="3041"/>
            <w:shd w:fill="1A237E"/>
          </w:tcPr>
          <w:p>
            <w:pPr>
              <w:jc w:val="center"/>
            </w:pPr>
            <w:r>
              <w:rPr>
                <w:b/>
                <w:color w:val="FFFFFF"/>
                <w:sz w:val="18"/>
              </w:rPr>
              <w:t>Volume Medido ($\text{Nm}^3$)</w:t>
            </w:r>
          </w:p>
        </w:tc>
        <w:tc>
          <w:tcPr>
            <w:tcW w:type="dxa" w:w="3041"/>
            <w:shd w:fill="1A237E"/>
          </w:tcPr>
          <w:p>
            <w:pPr>
              <w:jc w:val="center"/>
            </w:pPr>
            <w:r>
              <w:rPr>
                <w:b/>
                <w:color w:val="FFFFFF"/>
                <w:sz w:val="18"/>
              </w:rPr>
              <w:t>Participação Relativa (%)</w:t>
            </w:r>
          </w:p>
        </w:tc>
      </w:tr>
      <w:tr>
        <w:tc>
          <w:tcPr>
            <w:tcW w:type="dxa" w:w="3041"/>
            <w:shd w:fill="F5F5F5"/>
          </w:tcPr>
          <w:p>
            <w:r>
              <w:rPr>
                <w:sz w:val="18"/>
              </w:rPr>
              <w:t>Empresa A</w:t>
            </w:r>
          </w:p>
        </w:tc>
        <w:tc>
          <w:tcPr>
            <w:tcW w:type="dxa" w:w="3041"/>
            <w:shd w:fill="F5F5F5"/>
          </w:tcPr>
          <w:p>
            <w:r>
              <w:rPr>
                <w:sz w:val="18"/>
              </w:rPr>
              <w:t>$104.104.553$</w:t>
            </w:r>
          </w:p>
        </w:tc>
        <w:tc>
          <w:tcPr>
            <w:tcW w:type="dxa" w:w="3041"/>
            <w:shd w:fill="F5F5F5"/>
          </w:tcPr>
          <w:p>
            <w:r>
              <w:rPr>
                <w:sz w:val="18"/>
              </w:rPr>
              <w:t>$57,5\%$</w:t>
            </w:r>
          </w:p>
        </w:tc>
      </w:tr>
      <w:tr>
        <w:tc>
          <w:tcPr>
            <w:tcW w:type="dxa" w:w="3041"/>
          </w:tcPr>
          <w:p>
            <w:r>
              <w:rPr>
                <w:sz w:val="18"/>
              </w:rPr>
              <w:t>Empresa B</w:t>
            </w:r>
          </w:p>
        </w:tc>
        <w:tc>
          <w:tcPr>
            <w:tcW w:type="dxa" w:w="3041"/>
          </w:tcPr>
          <w:p>
            <w:r>
              <w:rPr>
                <w:sz w:val="18"/>
              </w:rPr>
              <w:t>$43.664.475$</w:t>
            </w:r>
          </w:p>
        </w:tc>
        <w:tc>
          <w:tcPr>
            <w:tcW w:type="dxa" w:w="3041"/>
          </w:tcPr>
          <w:p>
            <w:r>
              <w:rPr>
                <w:sz w:val="18"/>
              </w:rPr>
              <w:t>$24,1\%$</w:t>
            </w:r>
          </w:p>
        </w:tc>
      </w:tr>
      <w:tr>
        <w:tc>
          <w:tcPr>
            <w:tcW w:type="dxa" w:w="3041"/>
            <w:shd w:fill="F5F5F5"/>
          </w:tcPr>
          <w:p>
            <w:r>
              <w:rPr>
                <w:sz w:val="18"/>
              </w:rPr>
              <w:t>Empresa E</w:t>
            </w:r>
          </w:p>
        </w:tc>
        <w:tc>
          <w:tcPr>
            <w:tcW w:type="dxa" w:w="3041"/>
            <w:shd w:fill="F5F5F5"/>
          </w:tcPr>
          <w:p>
            <w:r>
              <w:rPr>
                <w:sz w:val="18"/>
              </w:rPr>
              <w:t>$10.184.645$</w:t>
            </w:r>
          </w:p>
        </w:tc>
        <w:tc>
          <w:tcPr>
            <w:tcW w:type="dxa" w:w="3041"/>
            <w:shd w:fill="F5F5F5"/>
          </w:tcPr>
          <w:p>
            <w:r>
              <w:rPr>
                <w:sz w:val="18"/>
              </w:rPr>
              <w:t>$5,6\%$</w:t>
            </w:r>
          </w:p>
        </w:tc>
      </w:tr>
      <w:tr>
        <w:tc>
          <w:tcPr>
            <w:tcW w:type="dxa" w:w="3041"/>
          </w:tcPr>
          <w:p>
            <w:r>
              <w:rPr>
                <w:sz w:val="18"/>
              </w:rPr>
              <w:t>Empresa G</w:t>
            </w:r>
          </w:p>
        </w:tc>
        <w:tc>
          <w:tcPr>
            <w:tcW w:type="dxa" w:w="3041"/>
          </w:tcPr>
          <w:p>
            <w:r>
              <w:rPr>
                <w:sz w:val="18"/>
              </w:rPr>
              <w:t>$10.081.924$</w:t>
            </w:r>
          </w:p>
        </w:tc>
        <w:tc>
          <w:tcPr>
            <w:tcW w:type="dxa" w:w="3041"/>
          </w:tcPr>
          <w:p>
            <w:r>
              <w:rPr>
                <w:sz w:val="18"/>
              </w:rPr>
              <w:t>$5,6\%$</w:t>
            </w:r>
          </w:p>
        </w:tc>
      </w:tr>
      <w:tr>
        <w:tc>
          <w:tcPr>
            <w:tcW w:type="dxa" w:w="3041"/>
            <w:shd w:fill="F5F5F5"/>
          </w:tcPr>
          <w:p>
            <w:r>
              <w:rPr>
                <w:sz w:val="18"/>
              </w:rPr>
              <w:t>Empresa C</w:t>
            </w:r>
          </w:p>
        </w:tc>
        <w:tc>
          <w:tcPr>
            <w:tcW w:type="dxa" w:w="3041"/>
            <w:shd w:fill="F5F5F5"/>
          </w:tcPr>
          <w:p>
            <w:r>
              <w:rPr>
                <w:sz w:val="18"/>
              </w:rPr>
              <w:t>$6.841.747$</w:t>
            </w:r>
          </w:p>
        </w:tc>
        <w:tc>
          <w:tcPr>
            <w:tcW w:type="dxa" w:w="3041"/>
            <w:shd w:fill="F5F5F5"/>
          </w:tcPr>
          <w:p>
            <w:r>
              <w:rPr>
                <w:sz w:val="18"/>
              </w:rPr>
              <w:t>$3,8\%$</w:t>
            </w:r>
          </w:p>
        </w:tc>
      </w:tr>
      <w:tr>
        <w:tc>
          <w:tcPr>
            <w:tcW w:type="dxa" w:w="3041"/>
          </w:tcPr>
          <w:p>
            <w:r>
              <w:rPr>
                <w:sz w:val="18"/>
              </w:rPr>
              <w:t>Empresa F</w:t>
            </w:r>
          </w:p>
        </w:tc>
        <w:tc>
          <w:tcPr>
            <w:tcW w:type="dxa" w:w="3041"/>
          </w:tcPr>
          <w:p>
            <w:r>
              <w:rPr>
                <w:sz w:val="18"/>
              </w:rPr>
              <w:t>$5.957.912$</w:t>
            </w:r>
          </w:p>
        </w:tc>
        <w:tc>
          <w:tcPr>
            <w:tcW w:type="dxa" w:w="3041"/>
          </w:tcPr>
          <w:p>
            <w:r>
              <w:rPr>
                <w:sz w:val="18"/>
              </w:rPr>
              <w:t>$3,3\%$</w:t>
            </w:r>
          </w:p>
        </w:tc>
      </w:tr>
      <w:tr>
        <w:tc>
          <w:tcPr>
            <w:tcW w:type="dxa" w:w="3041"/>
            <w:shd w:fill="F5F5F5"/>
          </w:tcPr>
          <w:p>
            <w:r>
              <w:rPr>
                <w:sz w:val="18"/>
              </w:rPr>
              <w:t>Empresa D</w:t>
            </w:r>
          </w:p>
        </w:tc>
        <w:tc>
          <w:tcPr>
            <w:tcW w:type="dxa" w:w="3041"/>
            <w:shd w:fill="F5F5F5"/>
          </w:tcPr>
          <w:p>
            <w:r>
              <w:rPr>
                <w:sz w:val="18"/>
              </w:rPr>
              <w:t>$88.184$</w:t>
            </w:r>
          </w:p>
        </w:tc>
        <w:tc>
          <w:tcPr>
            <w:tcW w:type="dxa" w:w="3041"/>
            <w:shd w:fill="F5F5F5"/>
          </w:tcPr>
          <w:p>
            <w:r>
              <w:rPr>
                <w:sz w:val="18"/>
              </w:rPr>
              <w:t>$0,1\%$</w:t>
            </w:r>
          </w:p>
        </w:tc>
      </w:tr>
      <w:tr>
        <w:tc>
          <w:tcPr>
            <w:tcW w:type="dxa" w:w="3041"/>
          </w:tcPr>
          <w:p>
            <w:r>
              <w:rPr>
                <w:sz w:val="18"/>
              </w:rPr>
              <w:t>Total Saída</w:t>
            </w:r>
          </w:p>
        </w:tc>
        <w:tc>
          <w:tcPr>
            <w:tcW w:type="dxa" w:w="3041"/>
          </w:tcPr>
          <w:p>
            <w:r>
              <w:rPr>
                <w:sz w:val="18"/>
              </w:rPr>
              <w:t>$180.923.440$</w:t>
            </w:r>
          </w:p>
        </w:tc>
        <w:tc>
          <w:tcPr>
            <w:tcW w:type="dxa" w:w="3041"/>
          </w:tcPr>
          <w:p>
            <w:r>
              <w:rPr>
                <w:sz w:val="18"/>
              </w:rPr>
              <w:t>$100,0\%$</w:t>
            </w:r>
          </w:p>
        </w:tc>
      </w:tr>
    </w:tbl>
    <w:p/>
    <w:p>
      <w:pPr>
        <w:pStyle w:val="Heading3"/>
      </w:pPr>
      <w:r>
        <w:t>Avaliação das Incertezas e Bandas de Confiança</w:t>
      </w:r>
    </w:p>
    <w:p>
      <w:r>
        <w:t xml:space="preserve">A avaliação técnica do balanço de massa não deve limitar-se à diferença aritmética, mas sim considerar a </w:t>
      </w:r>
      <w:r>
        <w:rPr>
          <w:b/>
        </w:rPr>
        <w:t>incerteza expandida</w:t>
      </w:r>
      <w:r>
        <w:t xml:space="preserve"> (</w:t>
      </w:r>
      <m:oMath>
        <m:r>
          <m:t>U</m:t>
        </m:r>
      </m:oMath>
      <w:r>
        <w:t xml:space="preserve">) associada aos sistemas de medição, conforme as diretrizes do </w:t>
      </w:r>
      <w:r>
        <w:rPr>
          <w:b/>
        </w:rPr>
        <w:t>GUM</w:t>
      </w:r>
      <w:r>
        <w:t xml:space="preserve"> (Guia para a Expressão de Incerteza de Medição).</w:t>
      </w:r>
    </w:p>
    <w:p>
      <w:r>
        <w:t xml:space="preserve">Para o ponto de entrada, a incerteza de </w:t>
      </w:r>
      <w:r>
        <w:rPr>
          <w:b/>
        </w:rPr>
        <w:t>1,52%</w:t>
      </w:r>
      <w:r>
        <w:t xml:space="preserve"> é condizente com sistemas de medição de custódia de alta precisão. Já a incerteza combinada da saída, calculada em </w:t>
      </w:r>
      <w:r>
        <w:rPr>
          <w:b/>
        </w:rPr>
        <w:t>6,19%</w:t>
      </w:r>
      <w:r>
        <w:t xml:space="preserve">, reflete a heterogeneidade das tecnologias de medição instaladas nos diversos clientes e o efeito da propagação de incertezas pelo método </w:t>
      </w:r>
      <w:r>
        <w:rPr>
          <w:b/>
        </w:rPr>
        <w:t>RSS</w:t>
      </w:r>
      <w:r>
        <w:t xml:space="preserve"> (</w:t>
      </w:r>
      <w:r>
        <w:rPr>
          <w:i/>
        </w:rPr>
        <w:t>Root Sum Square</w:t>
      </w:r>
      <w:r>
        <w:t>).</w:t>
      </w:r>
    </w:p>
    <w:p>
      <w:r>
        <w:t>As bandas de confiança para os volumes de entrada e saída são definidas pelas seguintes equações:</w:t>
      </w:r>
    </w:p>
    <w:p>
      <w:pPr>
        <w:jc w:val="center"/>
      </w:pPr>
      <m:oMath>
        <m:sSub>
          <m:e>
            <m:r>
              <m:t>V</m:t>
            </m:r>
          </m:e>
          <m:sub>
            <m:r>
              <m:t>inf</m:t>
            </m:r>
          </m:sub>
        </m:sSub>
        <m:r>
          <m:t>=</m:t>
        </m:r>
        <m:sSub>
          <m:e>
            <m:r>
              <m:t>V</m:t>
            </m:r>
          </m:e>
          <m:sub>
            <m:r>
              <m:t>calc</m:t>
            </m:r>
          </m:sub>
        </m:sSub>
        <m:r>
          <m:t>×(1−U)</m:t>
        </m:r>
      </m:oMath>
    </w:p>
    <w:p>
      <w:pPr>
        <w:jc w:val="center"/>
      </w:pPr>
      <m:oMath>
        <m:sSub>
          <m:e>
            <m:r>
              <m:t>V</m:t>
            </m:r>
          </m:e>
          <m:sub>
            <m:r>
              <m:t>sup</m:t>
            </m:r>
          </m:sub>
        </m:sSub>
        <m:r>
          <m:t>=</m:t>
        </m:r>
        <m:sSub>
          <m:e>
            <m:r>
              <m:t>V</m:t>
            </m:r>
          </m:e>
          <m:sub>
            <m:r>
              <m:t>calc</m:t>
            </m:r>
          </m:sub>
        </m:sSub>
        <m:r>
          <m:t>×(1+U)</m:t>
        </m:r>
      </m:oMath>
    </w:p>
    <w:p>
      <w:r>
        <w:t>Aplicando estes parâmetros, os intervalos operacionais computados são:</w:t>
      </w:r>
    </w:p>
    <w:tbl>
      <w:tblPr>
        <w:tblStyle w:val="TableGrid"/>
        <w:tblW w:type="auto" w:w="0"/>
        <w:jc w:val="center"/>
        <w:tblLook w:firstColumn="1" w:firstRow="1" w:lastColumn="0" w:lastRow="0" w:noHBand="0" w:noVBand="1" w:val="04A0"/>
      </w:tblPr>
      <w:tblGrid>
        <w:gridCol w:w="2280"/>
        <w:gridCol w:w="2280"/>
        <w:gridCol w:w="2280"/>
        <w:gridCol w:w="2280"/>
      </w:tblGrid>
      <w:tr>
        <w:tc>
          <w:tcPr>
            <w:tcW w:type="dxa" w:w="2280"/>
            <w:shd w:fill="1A237E"/>
          </w:tcPr>
          <w:p>
            <w:pPr>
              <w:jc w:val="center"/>
            </w:pPr>
            <w:r>
              <w:rPr>
                <w:b/>
                <w:color w:val="FFFFFF"/>
                <w:sz w:val="18"/>
              </w:rPr>
              <w:t>Fluxo</w:t>
            </w:r>
          </w:p>
        </w:tc>
        <w:tc>
          <w:tcPr>
            <w:tcW w:type="dxa" w:w="2280"/>
            <w:shd w:fill="1A237E"/>
          </w:tcPr>
          <w:p>
            <w:pPr>
              <w:jc w:val="center"/>
            </w:pPr>
            <w:r>
              <w:rPr>
                <w:b/>
                <w:color w:val="FFFFFF"/>
                <w:sz w:val="18"/>
              </w:rPr>
              <w:t>Incerteza ($U$)</w:t>
            </w:r>
          </w:p>
        </w:tc>
        <w:tc>
          <w:tcPr>
            <w:tcW w:type="dxa" w:w="2280"/>
            <w:shd w:fill="1A237E"/>
          </w:tcPr>
          <w:p>
            <w:pPr>
              <w:jc w:val="center"/>
            </w:pPr>
            <w:r>
              <w:rPr>
                <w:b/>
                <w:color w:val="FFFFFF"/>
                <w:sz w:val="18"/>
              </w:rPr>
              <w:t>Limite Inferior ($\text{Nm}^3$)</w:t>
            </w:r>
          </w:p>
        </w:tc>
        <w:tc>
          <w:tcPr>
            <w:tcW w:type="dxa" w:w="2280"/>
            <w:shd w:fill="1A237E"/>
          </w:tcPr>
          <w:p>
            <w:pPr>
              <w:jc w:val="center"/>
            </w:pPr>
            <w:r>
              <w:rPr>
                <w:b/>
                <w:color w:val="FFFFFF"/>
                <w:sz w:val="18"/>
              </w:rPr>
              <w:t>Limite Superior ($\text{Nm}^3$)</w:t>
            </w:r>
          </w:p>
        </w:tc>
      </w:tr>
      <w:tr>
        <w:tc>
          <w:tcPr>
            <w:tcW w:type="dxa" w:w="2280"/>
            <w:shd w:fill="F5F5F5"/>
          </w:tcPr>
          <w:p>
            <w:r>
              <w:rPr>
                <w:sz w:val="18"/>
              </w:rPr>
              <w:t>Entrada</w:t>
            </w:r>
          </w:p>
        </w:tc>
        <w:tc>
          <w:tcPr>
            <w:tcW w:type="dxa" w:w="2280"/>
            <w:shd w:fill="F5F5F5"/>
          </w:tcPr>
          <w:p>
            <w:r>
              <w:rPr>
                <w:sz w:val="18"/>
              </w:rPr>
              <w:t>$1,52\%$</w:t>
            </w:r>
          </w:p>
        </w:tc>
        <w:tc>
          <w:tcPr>
            <w:tcW w:type="dxa" w:w="2280"/>
            <w:shd w:fill="F5F5F5"/>
          </w:tcPr>
          <w:p>
            <w:r>
              <w:rPr>
                <w:sz w:val="18"/>
              </w:rPr>
              <w:t>$180.138.686$</w:t>
            </w:r>
          </w:p>
        </w:tc>
        <w:tc>
          <w:tcPr>
            <w:tcW w:type="dxa" w:w="2280"/>
            <w:shd w:fill="F5F5F5"/>
          </w:tcPr>
          <w:p>
            <w:r>
              <w:rPr>
                <w:sz w:val="18"/>
              </w:rPr>
              <w:t>$185.701.014$</w:t>
            </w:r>
          </w:p>
        </w:tc>
      </w:tr>
      <w:tr>
        <w:tc>
          <w:tcPr>
            <w:tcW w:type="dxa" w:w="2280"/>
          </w:tcPr>
          <w:p>
            <w:r>
              <w:rPr>
                <w:sz w:val="18"/>
              </w:rPr>
              <w:t>Saída</w:t>
            </w:r>
          </w:p>
        </w:tc>
        <w:tc>
          <w:tcPr>
            <w:tcW w:type="dxa" w:w="2280"/>
          </w:tcPr>
          <w:p>
            <w:r>
              <w:rPr>
                <w:sz w:val="18"/>
              </w:rPr>
              <w:t>$6,19\%$</w:t>
            </w:r>
          </w:p>
        </w:tc>
        <w:tc>
          <w:tcPr>
            <w:tcW w:type="dxa" w:w="2280"/>
          </w:tcPr>
          <w:p>
            <w:r>
              <w:rPr>
                <w:sz w:val="18"/>
              </w:rPr>
              <w:t>$169.725.770$</w:t>
            </w:r>
          </w:p>
        </w:tc>
        <w:tc>
          <w:tcPr>
            <w:tcW w:type="dxa" w:w="2280"/>
          </w:tcPr>
          <w:p>
            <w:r>
              <w:rPr>
                <w:sz w:val="18"/>
              </w:rPr>
              <w:t>$192.121.110$</w:t>
            </w:r>
          </w:p>
        </w:tc>
      </w:tr>
    </w:tbl>
    <w:p/>
    <w:p>
      <w:pPr>
        <w:pStyle w:val="Heading3"/>
      </w:pPr>
      <w:r>
        <w:t>Interpretação do Equilíbrio de Massa</w:t>
      </w:r>
    </w:p>
    <w:p>
      <w:r>
        <w:t xml:space="preserve">A diferença observada de </w:t>
      </w:r>
      <w:r>
        <w:rPr>
          <w:b/>
        </w:rPr>
        <w:t>1,09%</w:t>
      </w:r>
      <w:r>
        <w:t xml:space="preserve"> encontra-se tecnicamente abaixo do limite de tolerância normativa comumente aceito para sistemas de distribuição de gás natural, que frequentemente balizam variações de até </w:t>
      </w:r>
      <w:r>
        <w:rPr>
          <w:b/>
        </w:rPr>
        <w:t>2,0%</w:t>
      </w:r>
      <w:r>
        <w:t xml:space="preserve"> para aceitação de balanços operacionais sem a necessidade de auditoria extraordinária de perdas.</w:t>
      </w:r>
    </w:p>
    <w:p>
      <w:r>
        <w:t xml:space="preserve">O critério de </w:t>
      </w:r>
      <w:r>
        <w:rPr>
          <w:b/>
        </w:rPr>
        <w:t>congruência estatística</w:t>
      </w:r>
      <w:r>
        <w:t xml:space="preserve"> é satisfeito pela verificação da </w:t>
      </w:r>
      <w:r>
        <w:rPr>
          <w:b/>
        </w:rPr>
        <w:t>sobreposição das bandas de incerteza</w:t>
      </w:r>
      <w:r>
        <w:t>. O limite inferior da entrada (</w:t>
      </w:r>
      <m:oMath>
        <m:r>
          <m:t>180.138</m:t>
        </m:r>
        <m:r>
          <m:rPr>
            <m:sty m:val="p"/>
          </m:rPr>
          <m:t>.686</m:t>
        </m:r>
        <m:sSup>
          <m:e>
            <m:r>
              <m:rPr>
                <m:nor/>
              </m:rPr>
              <m:t> Nm</m:t>
            </m:r>
          </m:e>
          <m:sup>
            <m:r>
              <m:t>3</m:t>
            </m:r>
          </m:sup>
        </m:sSup>
      </m:oMath>
      <w:r>
        <w:t>) e o limite superior da saída (</w:t>
      </w:r>
      <m:oMath>
        <m:r>
          <m:t>192.121</m:t>
        </m:r>
        <m:r>
          <m:rPr>
            <m:sty m:val="p"/>
          </m:rPr>
          <m:t>.110</m:t>
        </m:r>
        <m:sSup>
          <m:e>
            <m:r>
              <m:rPr>
                <m:nor/>
              </m:rPr>
              <m:t> Nm</m:t>
            </m:r>
          </m:e>
          <m:sup>
            <m:r>
              <m:t>3</m:t>
            </m:r>
          </m:sup>
        </m:sSup>
      </m:oMath>
      <w:r>
        <w:t>) permitem a coexistência de um valor verdadeiro comum a ambos os sistemas dentro dos intervalos de confiança estabelecidos.</w:t>
      </w:r>
    </w:p>
    <w:p>
      <w:r>
        <w:t xml:space="preserve">Conclui-se que o desvio de </w:t>
      </w:r>
      <m:oMath>
        <m:r>
          <m:t>1,99</m:t>
        </m:r>
      </m:oMath>
      <w:r>
        <w:t xml:space="preserve"> milhão de </w:t>
      </w:r>
      <m:oMath>
        <m:sSup>
          <m:e>
            <m:r>
              <m:rPr>
                <m:nor/>
              </m:rPr>
              <m:t>Nm</m:t>
            </m:r>
          </m:e>
          <m:sup>
            <m:r>
              <m:t>3</m:t>
            </m:r>
          </m:sup>
        </m:sSup>
      </m:oMath>
      <w:r>
        <w:t xml:space="preserve"> é estatisticamente insignificante diante das incertezas inerentes ao processo de medição do distrito. O resultado é classificado como </w:t>
      </w:r>
      <w:r>
        <w:rPr>
          <w:b/>
        </w:rPr>
        <w:t>aceitável</w:t>
      </w:r>
      <w:r>
        <w:t>, indicando que as perdas não aparentes (vazamentos ou erros sistemáticos) estão diluídas dentro da margem de erro instrumental e operacional dos ativos de medição.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029200" cy="3324435"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balanco_barras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32443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i/>
          <w:color w:val="666666"/>
          <w:sz w:val="18"/>
        </w:rPr>
        <w:t>Figura 7.1: Entrada vs Saída com bandas de incerteza</w:t>
      </w:r>
    </w:p>
    <w:p/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029200" cy="2492422"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balanco_waterfall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49242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i/>
          <w:color w:val="666666"/>
          <w:sz w:val="18"/>
        </w:rPr>
        <w:t>Figura 7.2: Decomposição waterfall do balanço</w:t>
      </w:r>
    </w:p>
    <w:p/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029200" cy="2105190"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balanco_bandas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051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i/>
          <w:color w:val="666666"/>
          <w:sz w:val="18"/>
        </w:rPr>
        <w:t>Figura 7.3: Sobreposição das bandas de incerteza</w:t>
      </w:r>
    </w:p>
    <w:p/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029200" cy="1727200"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balanco_dashboard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172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i/>
          <w:color w:val="666666"/>
          <w:sz w:val="18"/>
        </w:rPr>
        <w:t>Figura 7.4: Dashboard do resultado do balanço</w:t>
      </w:r>
    </w:p>
    <w:p/>
    <w:p>
      <w:pPr>
        <w:pStyle w:val="Heading2"/>
      </w:pPr>
      <w:r>
        <w:t>Discussão dos Gráficos</w:t>
      </w:r>
    </w:p>
    <w:p>
      <w:r>
        <w:t>Nesta subseção, apresenta-se a interpretação técnica das representações visuais obtidas a partir do balanço de massa do distrito de distribuição, correlacionando os volumes medidos com suas respectivas incertezas metrológicas.</w:t>
      </w:r>
    </w:p>
    <w:p>
      <w:pPr>
        <w:pStyle w:val="Heading4"/>
      </w:pPr>
      <w:r>
        <w:t>Figura 7.1: Entrada vs Saída com bandas de incerteza</w:t>
      </w:r>
    </w:p>
    <w:p>
      <w:r>
        <w:t xml:space="preserve">Na </w:t>
      </w:r>
      <w:r>
        <w:rPr>
          <w:b/>
        </w:rPr>
        <w:t>Figura 7.1</w:t>
      </w:r>
      <w:r>
        <w:t>, observa-se a comparação direta entre o volume total injetado no sistema (</w:t>
      </w:r>
      <w:r>
        <w:rPr>
          <w:b/>
        </w:rPr>
        <w:t>Entrada</w:t>
      </w:r>
      <w:r>
        <w:t>) e o volume total medido nos pontos de entrega (</w:t>
      </w:r>
      <w:r>
        <w:rPr>
          <w:b/>
        </w:rPr>
        <w:t>Saída Total</w:t>
      </w:r>
      <w:r>
        <w:t xml:space="preserve">). O gráfico de barras destaca uma diferença absoluta de </w:t>
      </w:r>
      <m:oMath>
        <m:r>
          <m:t>2,00</m:t>
        </m:r>
        <m:sSup>
          <m:e>
            <m:r>
              <m:rPr>
                <m:nor/>
              </m:rPr>
              <m:t> Mm</m:t>
            </m:r>
          </m:e>
          <m:sup>
            <m:r>
              <m:t>3</m:t>
            </m:r>
          </m:sup>
        </m:sSup>
      </m:oMath>
      <w:r>
        <w:t xml:space="preserve">, o que representa um desvio percentual de </w:t>
      </w:r>
      <m:oMath>
        <m:r>
          <m:t>1,09%</m:t>
        </m:r>
      </m:oMath>
      <w:r>
        <w:t>.</w:t>
      </w:r>
    </w:p>
    <w:p>
      <w:r>
        <w:t xml:space="preserve">Visualmente, a característica mais relevante é a disparidade entre as </w:t>
      </w:r>
      <w:r>
        <w:rPr>
          <w:b/>
        </w:rPr>
        <w:t>bandas de incerteza expandida</w:t>
      </w:r>
      <w:r>
        <w:t xml:space="preserve">. Enquanto a medição de entrada apresenta uma incerteza de </w:t>
      </w:r>
      <m:oMath>
        <m:r>
          <m:t>±1,52%</m:t>
        </m:r>
      </m:oMath>
      <w:r>
        <w:t xml:space="preserve">, indicando um sistema de medição (provavelmente no </w:t>
      </w:r>
      <w:r>
        <w:rPr>
          <w:i/>
        </w:rPr>
        <w:t>city gate</w:t>
      </w:r>
      <w:r>
        <w:t xml:space="preserve">) com elevada classe de exatidão e redundância, a barra de saída total exibe uma incerteza significativamente superior, de </w:t>
      </w:r>
      <m:oMath>
        <m:r>
          <m:t>±6,19%</m:t>
        </m:r>
      </m:oMath>
      <w:r>
        <w:t>. Essa amplitude na saída é típica de sistemas onde o volume total é composto pela soma algébrica de diversos medidores industriais de tecnologias distintas, cujas incertezas individuais são propagadas.</w:t>
      </w:r>
    </w:p>
    <w:p>
      <w:pPr>
        <w:pStyle w:val="Heading4"/>
      </w:pPr>
      <w:r>
        <w:t>Figura 7.2: Decomposição waterfall do balanço</w:t>
      </w:r>
    </w:p>
    <w:p>
      <w:r>
        <w:t xml:space="preserve">A </w:t>
      </w:r>
      <w:r>
        <w:rPr>
          <w:b/>
        </w:rPr>
        <w:t>Figura 7.2</w:t>
      </w:r>
      <w:r>
        <w:t xml:space="preserve"> detalha a decomposição do balanço de massa por meio de um gráfico de tipo </w:t>
      </w:r>
      <w:r>
        <w:rPr>
          <w:i/>
        </w:rPr>
        <w:t>waterfall</w:t>
      </w:r>
      <w:r>
        <w:t xml:space="preserve">. Observa-se que a demanda do distrito é altamente concentrada: as </w:t>
      </w:r>
      <w:r>
        <w:rPr>
          <w:b/>
        </w:rPr>
        <w:t>Empresa A</w:t>
      </w:r>
      <w:r>
        <w:t xml:space="preserve"> (</w:t>
      </w:r>
      <m:oMath>
        <m:r>
          <m:t>104,1</m:t>
        </m:r>
        <m:sSup>
          <m:e>
            <m:r>
              <m:rPr>
                <m:nor/>
              </m:rPr>
              <m:t> Nm</m:t>
            </m:r>
          </m:e>
          <m:sup>
            <m:r>
              <m:t>3</m:t>
            </m:r>
          </m:sup>
        </m:sSup>
      </m:oMath>
      <w:r>
        <w:t xml:space="preserve">) e </w:t>
      </w:r>
      <w:r>
        <w:rPr>
          <w:b/>
        </w:rPr>
        <w:t>Empresa B</w:t>
      </w:r>
      <w:r>
        <w:t xml:space="preserve"> (</w:t>
      </w:r>
      <m:oMath>
        <m:r>
          <m:t>43,7</m:t>
        </m:r>
        <m:sSup>
          <m:e>
            <m:r>
              <m:rPr>
                <m:nor/>
              </m:rPr>
              <m:t> Nm</m:t>
            </m:r>
          </m:e>
          <m:sup>
            <m:r>
              <m:t>3</m:t>
            </m:r>
          </m:sup>
        </m:sSup>
      </m:oMath>
      <w:r>
        <w:t xml:space="preserve">) respondem, juntas, por mais de </w:t>
      </w:r>
      <m:oMath>
        <m:r>
          <m:t>80%</m:t>
        </m:r>
      </m:oMath>
      <w:r>
        <w:t xml:space="preserve"> do volume total de saída.</w:t>
      </w:r>
    </w:p>
    <w:p>
      <w:r>
        <w:t xml:space="preserve">Não foram detectados </w:t>
      </w:r>
      <w:r>
        <w:rPr>
          <w:i/>
        </w:rPr>
        <w:t>outliers</w:t>
      </w:r>
      <w:r>
        <w:t xml:space="preserve"> significativos entre os clientes industriais, mantendo-se o padrão de consumo esperado para o período. A </w:t>
      </w:r>
      <w:r>
        <w:rPr>
          <w:b/>
        </w:rPr>
        <w:t>Empresa D</w:t>
      </w:r>
      <w:r>
        <w:t xml:space="preserve"> apresenta um consumo marginal (</w:t>
      </w:r>
      <m:oMath>
        <m:r>
          <m:t>0,1</m:t>
        </m:r>
        <m:sSup>
          <m:e>
            <m:r>
              <m:rPr>
                <m:nor/>
              </m:rPr>
              <m:t> Nm</m:t>
            </m:r>
          </m:e>
          <m:sup>
            <m:r>
              <m:t>3</m:t>
            </m:r>
          </m:sup>
        </m:sSup>
      </m:oMath>
      <w:r>
        <w:t xml:space="preserve">), o que pode indicar um período de </w:t>
      </w:r>
      <w:r>
        <w:rPr>
          <w:i/>
        </w:rPr>
        <w:t>standby</w:t>
      </w:r>
      <w:r>
        <w:t xml:space="preserve"> ou manutenção programada. O último degrau do gráfico, representado pela barra verde denominada "Diferença", consolida o resíduo de </w:t>
      </w:r>
      <m:oMath>
        <m:r>
          <m:t>2,0</m:t>
        </m:r>
        <m:sSup>
          <m:e>
            <m:r>
              <m:rPr>
                <m:nor/>
              </m:rPr>
              <m:t> Nm</m:t>
            </m:r>
          </m:e>
          <m:sup>
            <m:r>
              <m:t>3</m:t>
            </m:r>
          </m:sup>
        </m:sSup>
      </m:oMath>
      <w:r>
        <w:t xml:space="preserve">, evidenciando que o saldo do balanço é positivo (volume de entrada superior ao de saída), característica comum em redes de distribuição devido a fatores como variação de </w:t>
      </w:r>
      <w:r>
        <w:rPr>
          <w:i/>
        </w:rPr>
        <w:t>line pack</w:t>
      </w:r>
      <w:r>
        <w:t xml:space="preserve"> ou incertezas sistemáticas de medição.</w:t>
      </w:r>
    </w:p>
    <w:p>
      <w:pPr>
        <w:pStyle w:val="Heading4"/>
      </w:pPr>
      <w:r>
        <w:t>Figura 7.3: Sobreposição das bandas de incerteza</w:t>
      </w:r>
    </w:p>
    <w:p>
      <w:r>
        <w:t xml:space="preserve">Na </w:t>
      </w:r>
      <w:r>
        <w:rPr>
          <w:b/>
        </w:rPr>
        <w:t>Figura 7.3</w:t>
      </w:r>
      <w:r>
        <w:t xml:space="preserve">, a análise é deslocada para a validade estatística do balanço através de uma representação horizontal das </w:t>
      </w:r>
      <w:r>
        <w:rPr>
          <w:b/>
        </w:rPr>
        <w:t>zonas de incerteza</w:t>
      </w:r>
      <w:r>
        <w:t>. Os marcadores em formato de diamante indicam os valores centrais medidos para Entrada e Saída.</w:t>
      </w:r>
    </w:p>
    <w:p>
      <w:r>
        <w:t xml:space="preserve">O ponto focal desta visualização é a vasta área sombreada em verde, identificada como </w:t>
      </w:r>
      <w:r>
        <w:rPr>
          <w:b/>
        </w:rPr>
        <w:t>Sobreposição</w:t>
      </w:r>
      <w:r>
        <w:t xml:space="preserve">. Metrologicamente, o fato de a banda de incerteza da Entrada (retângulo azul) estar inteiramente contida dentro da banda de incerteza das Saídas (retângulo laranja) é um forte indicador de que a diferença de </w:t>
      </w:r>
      <m:oMath>
        <m:r>
          <m:t>1,09%</m:t>
        </m:r>
      </m:oMath>
      <w:r>
        <w:t xml:space="preserve"> não é estatisticamente significativa. Sob a ótica do </w:t>
      </w:r>
      <w:r>
        <w:rPr>
          <w:b/>
        </w:rPr>
        <w:t>Guia para a Expressão da Incerteza de Medição (GUM)</w:t>
      </w:r>
      <w:r>
        <w:t>, se as bandas se sobrepõem, não se pode afirmar que há uma perda real de gás ou erro de medição sistemático que exceda os limites de tolerância do sistema.</w:t>
      </w:r>
    </w:p>
    <w:p>
      <w:pPr>
        <w:pStyle w:val="Heading4"/>
      </w:pPr>
      <w:r>
        <w:t>Figura 7.4: Dashboard do resultado do balanço</w:t>
      </w:r>
    </w:p>
    <w:p>
      <w:r>
        <w:t xml:space="preserve">A </w:t>
      </w:r>
      <w:r>
        <w:rPr>
          <w:b/>
        </w:rPr>
        <w:t>Figura 7.4</w:t>
      </w:r>
      <w:r>
        <w:t xml:space="preserve"> sintetiza o desempenho do distrito em um painel de indicadores (</w:t>
      </w:r>
      <w:r>
        <w:rPr>
          <w:i/>
        </w:rPr>
        <w:t>dashboard</w:t>
      </w:r>
      <w:r>
        <w:t xml:space="preserve">). O medidor de tipo </w:t>
      </w:r>
      <w:r>
        <w:rPr>
          <w:i/>
        </w:rPr>
        <w:t>gauge</w:t>
      </w:r>
      <w:r>
        <w:t xml:space="preserve"> centraliza a diferença de </w:t>
      </w:r>
      <m:oMath>
        <m:r>
          <m:t>1,09%</m:t>
        </m:r>
      </m:oMath>
      <w:r>
        <w:t xml:space="preserve">, posicionando o ponteiro em uma zona de conformidade (cor verde) em relação a uma escala de referência de </w:t>
      </w:r>
      <m:oMath>
        <m:r>
          <m:t>0%</m:t>
        </m:r>
      </m:oMath>
      <w:r>
        <w:t xml:space="preserve"> a </w:t>
      </w:r>
      <m:oMath>
        <m:r>
          <m:t>10%</m:t>
        </m:r>
      </m:oMath>
      <w:r>
        <w:t>.</w:t>
      </w:r>
    </w:p>
    <w:p>
      <w:r>
        <w:t xml:space="preserve">O painel à direita consolida o veredito visual do balanço como </w:t>
      </w:r>
      <w:r>
        <w:rPr>
          <w:b/>
        </w:rPr>
        <w:t>"APROVADO"</w:t>
      </w:r>
      <w:r>
        <w:t xml:space="preserve">, classificando o balanço como </w:t>
      </w:r>
      <w:r>
        <w:rPr>
          <w:b/>
        </w:rPr>
        <w:t>ACEITÁVEL</w:t>
      </w:r>
      <w:r>
        <w:t xml:space="preserve">. Esta conclusão visual é sustentada pela combinação de um baixo desvio relativo e pela conformidade das incertezas propagadas. Os dados de incerteza de </w:t>
      </w:r>
      <m:oMath>
        <m:r>
          <m:t>±1,52%</m:t>
        </m:r>
      </m:oMath>
      <w:r>
        <w:t xml:space="preserve"> na entrada e </w:t>
      </w:r>
      <m:oMath>
        <m:r>
          <m:t>±6,19%</m:t>
        </m:r>
      </m:oMath>
      <w:r>
        <w:t xml:space="preserve"> na saída, quando analisados conjuntamente no </w:t>
      </w:r>
      <w:r>
        <w:rPr>
          <w:i/>
        </w:rPr>
        <w:t>dashboard</w:t>
      </w:r>
      <w:r>
        <w:t>, confirmam que o sistema opera dentro dos parâmetros de controle operacional esperados para a rede de distribuição no período auditado.</w:t>
      </w:r>
    </w:p>
    <w:p>
      <w:pPr>
        <w:pStyle w:val="Heading2"/>
      </w:pPr>
      <w:r>
        <w:t>Parecer Regulatório</w:t>
      </w:r>
    </w:p>
    <w:p>
      <w:r>
        <w:t xml:space="preserve">Com base na análise técnica dos dados de medição e no processamento estatístico das incertezas, este auditor emite parecer de que a condição do balanço de massa do distrito é </w:t>
      </w:r>
      <w:r>
        <w:rPr>
          <w:b/>
        </w:rPr>
        <w:t>NORMAL</w:t>
      </w:r>
      <w:r>
        <w:t xml:space="preserve"> e </w:t>
      </w:r>
      <w:r>
        <w:rPr>
          <w:b/>
        </w:rPr>
        <w:t>ACEITÁVEL</w:t>
      </w:r>
      <w:r>
        <w:t>.</w:t>
      </w:r>
    </w:p>
    <w:p>
      <w:r>
        <w:t>A conformidade fundamenta-se nos seguintes pontos:</w:t>
      </w:r>
    </w:p>
    <w:p>
      <w:pPr>
        <w:pStyle w:val="ListNumber"/>
      </w:pPr>
      <w:r>
        <w:t xml:space="preserve">O desvio percentual de </w:t>
      </w:r>
      <w:r>
        <w:rPr>
          <w:b/>
        </w:rPr>
        <w:t>1,09%</w:t>
      </w:r>
      <w:r>
        <w:t xml:space="preserve"> (</w:t>
      </w:r>
      <m:oMath>
        <m:r>
          <m:t>1.996</m:t>
        </m:r>
        <m:r>
          <m:rPr>
            <m:sty m:val="p"/>
          </m:rPr>
          <m:t>.410</m:t>
        </m:r>
        <m:sSup>
          <m:e>
            <m:r>
              <m:rPr>
                <m:nor/>
              </m:rPr>
              <m:t> Nm</m:t>
            </m:r>
          </m:e>
          <m:sup>
            <m:r>
              <m:t>3</m:t>
            </m:r>
          </m:sup>
        </m:sSup>
      </m:oMath>
      <w:r>
        <w:t xml:space="preserve">) situa-se abaixo do limite de tolerância de </w:t>
      </w:r>
      <m:oMath>
        <m:r>
          <m:t>2,0%</m:t>
        </m:r>
      </m:oMath>
      <w:r>
        <w:t xml:space="preserve"> usualmente adotado para sistemas de distribuição, indicando controle eficiente das perdas não técnicas.</w:t>
      </w:r>
    </w:p>
    <w:p>
      <w:pPr>
        <w:pStyle w:val="ListNumber"/>
      </w:pPr>
      <w:r>
        <w:t xml:space="preserve">Houve o atendimento pleno ao critério de </w:t>
      </w:r>
      <w:r>
        <w:rPr>
          <w:b/>
        </w:rPr>
        <w:t>congruência estatística</w:t>
      </w:r>
      <w:r>
        <w:t>, visto que a banda de incerteza da entrada (</w:t>
      </w:r>
      <m:oMath>
        <m:r>
          <m:t>±1,52%</m:t>
        </m:r>
      </m:oMath>
      <w:r>
        <w:t>) está contida no intervalo de confiança das saídas (</w:t>
      </w:r>
      <m:oMath>
        <m:r>
          <m:t>±6,19%</m:t>
        </m:r>
      </m:oMath>
      <w:r>
        <w:t>), caracterizando o fechamento metrológico do sistema.</w:t>
      </w:r>
    </w:p>
    <w:p>
      <w:pPr>
        <w:pStyle w:val="ListNumber"/>
      </w:pPr>
      <w:r>
        <w:t xml:space="preserve">A utilização do método </w:t>
      </w:r>
      <w:r>
        <w:rPr>
          <w:b/>
        </w:rPr>
        <w:t>RSS</w:t>
      </w:r>
      <w:r>
        <w:t xml:space="preserve"> para propagação de incertezas demonstrou que, apesar da diversidade de tecnologias nos pontos de consumo, o erro máximo provável está devidamente mapeado.</w:t>
      </w:r>
    </w:p>
    <w:p>
      <w:r>
        <w:rPr>
          <w:b/>
        </w:rPr>
        <w:t>Ações Recomendadas:</w:t>
      </w:r>
    </w:p>
    <w:p>
      <w:pPr>
        <w:pStyle w:val="ListBullet"/>
      </w:pPr>
      <w:r>
        <w:t xml:space="preserve">  </w:t>
      </w:r>
      <w:r>
        <w:rPr>
          <w:b/>
        </w:rPr>
        <w:t>Monitoramento da Incerteza de Saída:</w:t>
      </w:r>
      <w:r>
        <w:t xml:space="preserve"> Embora aceitável, o valor de </w:t>
      </w:r>
      <m:oMath>
        <m:r>
          <m:t>6,19%</m:t>
        </m:r>
      </m:oMath>
      <w:r>
        <w:t xml:space="preserve"> de incerteza na saída é elevado se comparado à entrada. Recomenda-se a revisão dos planos de calibração dos transmissores de pressão e temperatura dos grandes consumidores (</w:t>
      </w:r>
      <w:r>
        <w:rPr>
          <w:b/>
        </w:rPr>
        <w:t>Empresa A</w:t>
      </w:r>
      <w:r>
        <w:t xml:space="preserve"> e </w:t>
      </w:r>
      <w:r>
        <w:rPr>
          <w:b/>
        </w:rPr>
        <w:t>Empresa B</w:t>
      </w:r>
      <w:r>
        <w:t>), visando reduzir a incerteza combinada do distrito.</w:t>
      </w:r>
    </w:p>
    <w:p>
      <w:pPr>
        <w:pStyle w:val="ListBullet"/>
      </w:pPr>
      <w:r>
        <w:t xml:space="preserve">  </w:t>
      </w:r>
      <w:r>
        <w:rPr>
          <w:b/>
        </w:rPr>
        <w:t>Verificação de Parâmetros de Cálculo:</w:t>
      </w:r>
      <w:r>
        <w:t xml:space="preserve"> Manter a fiscalização periódica sobre os computadores de vazão para garantir que as rotinas de cálculo do </w:t>
      </w:r>
      <w:r>
        <w:rPr>
          <w:b/>
        </w:rPr>
        <w:t>Z</w:t>
      </w:r>
      <w:r>
        <w:t xml:space="preserve"> (fator de compressibilidade) via </w:t>
      </w:r>
      <w:r>
        <w:rPr>
          <w:b/>
        </w:rPr>
        <w:t>AGA 8</w:t>
      </w:r>
      <w:r>
        <w:t xml:space="preserve"> e a inserção do </w:t>
      </w:r>
      <w:r>
        <w:rPr>
          <w:b/>
        </w:rPr>
        <w:t>PCS</w:t>
      </w:r>
      <w:r>
        <w:t xml:space="preserve"> estejam sincronizadas com os certificados de qualidade de gás do período.</w:t>
      </w:r>
    </w:p>
    <w:p>
      <w:r>
        <w:br w:type="page"/>
      </w:r>
    </w:p>
    <w:p>
      <w:pPr>
        <w:pStyle w:val="Heading1"/>
      </w:pPr>
      <w:r>
        <w:t>8. Conclusões e Recomendações</w:t>
      </w:r>
    </w:p>
    <w:p>
      <w:pPr>
        <w:pStyle w:val="Heading2"/>
      </w:pPr>
      <w:r>
        <w:t>CONCLUSÕES E RECOMENDAÇÕES</w:t>
      </w:r>
    </w:p>
    <w:p>
      <w:r>
        <w:t>Após a análise exaustiva dos dados operacionais, metrológicos e termodinâmicos do distrito de distribuição de gás natural no período de 01/04/2025 a 30/09/2025, apresento as conclusões e recomendações finais desta auditoria técnica.</w:t>
      </w:r>
    </w:p>
    <w:p>
      <w:pPr>
        <w:pStyle w:val="Heading3"/>
      </w:pPr>
      <w:r>
        <w:t>8.1. Conclusões Técnicas</w:t>
      </w:r>
    </w:p>
    <w:p>
      <w:r>
        <w:t>Com base nos capítulos precedentes, o veredito técnico para cada área avaliada é sintetizado conforme segue:</w:t>
      </w:r>
    </w:p>
    <w:p>
      <w:pPr>
        <w:pStyle w:val="ListBullet"/>
      </w:pPr>
      <w:r>
        <w:t xml:space="preserve">  </w:t>
      </w:r>
      <w:r>
        <w:rPr>
          <w:b/>
        </w:rPr>
        <w:t>Integridade do Balanço de Massa:</w:t>
      </w:r>
      <w:r>
        <w:t xml:space="preserve"> </w:t>
      </w:r>
      <w:r>
        <w:rPr>
          <w:b/>
        </w:rPr>
        <w:t>CONFORME</w:t>
      </w:r>
      <w:r>
        <w:t xml:space="preserve">, com ressalvas. A diferença apurada de </w:t>
      </w:r>
      <w:r>
        <w:rPr>
          <w:b/>
        </w:rPr>
        <w:t>1,09%</w:t>
      </w:r>
      <w:r>
        <w:t xml:space="preserve"> (</w:t>
      </w:r>
      <m:oMath>
        <m:r>
          <m:t>1.996</m:t>
        </m:r>
        <m:r>
          <m:rPr>
            <m:sty m:val="p"/>
          </m:rPr>
          <m:t>.410</m:t>
        </m:r>
        <m:r>
          <m:t>,00</m:t>
        </m:r>
      </m:oMath>
      <w:r>
        <w:t xml:space="preserve"> Nm³) é estatisticamente aceitável pela sobreposição das bandas de incerteza, embora a perda de dados na Empresa D fragilize a precisão do balanço diário.</w:t>
      </w:r>
    </w:p>
    <w:p>
      <w:pPr>
        <w:pStyle w:val="ListBullet"/>
      </w:pPr>
      <w:r>
        <w:t xml:space="preserve">  </w:t>
      </w:r>
      <w:r>
        <w:rPr>
          <w:b/>
        </w:rPr>
        <w:t>Sistemas de Medição de Entrada (City-Gate):</w:t>
      </w:r>
      <w:r>
        <w:t xml:space="preserve"> </w:t>
      </w:r>
      <w:r>
        <w:rPr>
          <w:b/>
        </w:rPr>
        <w:t>CONFORME</w:t>
      </w:r>
      <w:r>
        <w:t xml:space="preserve">. A concordância metrológica entre Concessionária e Transportadora foi de excelência, com erro relativo médio inferior a </w:t>
      </w:r>
      <w:r>
        <w:rPr>
          <w:b/>
        </w:rPr>
        <w:t>0,00001%</w:t>
      </w:r>
      <w:r>
        <w:t>.</w:t>
      </w:r>
    </w:p>
    <w:p>
      <w:pPr>
        <w:pStyle w:val="ListBullet"/>
      </w:pPr>
      <w:r>
        <w:t xml:space="preserve">  </w:t>
      </w:r>
      <w:r>
        <w:rPr>
          <w:b/>
        </w:rPr>
        <w:t>Determinação do PCS e Energia:</w:t>
      </w:r>
      <w:r>
        <w:t xml:space="preserve"> </w:t>
      </w:r>
      <w:r>
        <w:rPr>
          <w:b/>
        </w:rPr>
        <w:t>CONFORME</w:t>
      </w:r>
      <w:r>
        <w:t>. Os algoritmos de conversão e a correlação volume-energia (</w:t>
      </w:r>
      <m:oMath>
        <m:r>
          <m:t>r=0,999999</m:t>
        </m:r>
      </m:oMath>
      <w:r>
        <w:t xml:space="preserve">) demonstram robustez e rastreabilidade conforme as normas </w:t>
      </w:r>
      <w:r>
        <w:rPr>
          <w:b/>
        </w:rPr>
        <w:t>AGA 8</w:t>
      </w:r>
      <w:r>
        <w:t xml:space="preserve"> e </w:t>
      </w:r>
      <w:r>
        <w:rPr>
          <w:b/>
        </w:rPr>
        <w:t>ISO 6976</w:t>
      </w:r>
      <w:r>
        <w:t>.</w:t>
      </w:r>
    </w:p>
    <w:p>
      <w:pPr>
        <w:pStyle w:val="ListBullet"/>
      </w:pPr>
      <w:r>
        <w:t xml:space="preserve">  </w:t>
      </w:r>
      <w:r>
        <w:rPr>
          <w:b/>
        </w:rPr>
        <w:t>Confiabilidade dos Dados de Saída (Clientes):</w:t>
      </w:r>
      <w:r>
        <w:t xml:space="preserve"> </w:t>
      </w:r>
      <w:r>
        <w:rPr>
          <w:b/>
        </w:rPr>
        <w:t>NÃO CONFORME</w:t>
      </w:r>
      <w:r>
        <w:t xml:space="preserve">. A ausência de </w:t>
      </w:r>
      <w:r>
        <w:rPr>
          <w:b/>
        </w:rPr>
        <w:t>57,0%</w:t>
      </w:r>
      <w:r>
        <w:t xml:space="preserve"> dos registros horários na Empresa D e as incertezas expandidas acima de </w:t>
      </w:r>
      <w:r>
        <w:rPr>
          <w:b/>
        </w:rPr>
        <w:t>3,00%</w:t>
      </w:r>
      <w:r>
        <w:t xml:space="preserve"> nas Empresas D e E violam os requisitos de apropriação e custódia.</w:t>
      </w:r>
    </w:p>
    <w:p>
      <w:pPr>
        <w:pStyle w:val="ListBullet"/>
      </w:pPr>
      <w:r>
        <w:t xml:space="preserve">  </w:t>
      </w:r>
      <w:r>
        <w:rPr>
          <w:b/>
        </w:rPr>
        <w:t>Incerteza Expandida Combinada:</w:t>
      </w:r>
      <w:r>
        <w:t xml:space="preserve"> </w:t>
      </w:r>
      <w:r>
        <w:rPr>
          <w:b/>
        </w:rPr>
        <w:t>NÃO CONFORME</w:t>
      </w:r>
      <w:r>
        <w:t xml:space="preserve">. Enquanto a entrada mantém </w:t>
      </w:r>
      <w:r>
        <w:rPr>
          <w:b/>
        </w:rPr>
        <w:t>1,52%</w:t>
      </w:r>
      <w:r>
        <w:t xml:space="preserve">, a incerteza combinada das saídas de </w:t>
      </w:r>
      <w:r>
        <w:rPr>
          <w:b/>
        </w:rPr>
        <w:t>6,19%</w:t>
      </w:r>
      <w:r>
        <w:t xml:space="preserve"> excede os limites prudenciais para a gestão de perdas e eficiência do distrito.</w:t>
      </w:r>
    </w:p>
    <w:p>
      <w:pPr>
        <w:pStyle w:val="Heading3"/>
      </w:pPr>
      <w:r>
        <w:t>8.2. Pontos Positivos Identificados</w:t>
      </w:r>
    </w:p>
    <w:p>
      <w:pPr>
        <w:pStyle w:val="ListNumber"/>
      </w:pPr>
      <w:r>
        <w:rPr>
          <w:b/>
        </w:rPr>
        <w:t>Sincronismo Metrológico na Fronteira:</w:t>
      </w:r>
      <w:r>
        <w:t xml:space="preserve"> O alinhamento técnico entre os ativos de medição da transportadora e da concessionária nos </w:t>
      </w:r>
      <w:r>
        <w:rPr>
          <w:b/>
        </w:rPr>
        <w:t>Tramos 101 e 501</w:t>
      </w:r>
      <w:r>
        <w:t xml:space="preserve"> é exemplar, garantindo segurança jurídica na transferência de custódia primária.</w:t>
      </w:r>
    </w:p>
    <w:p>
      <w:pPr>
        <w:pStyle w:val="ListNumber"/>
      </w:pPr>
      <w:r>
        <w:rPr>
          <w:b/>
        </w:rPr>
        <w:t>Robustez Computacional:</w:t>
      </w:r>
      <w:r>
        <w:t xml:space="preserve"> A parametrização dos computadores de vazão para o cálculo do </w:t>
      </w:r>
      <w:r>
        <w:rPr>
          <w:b/>
        </w:rPr>
        <w:t>fator de compressibilidade ($Z$)</w:t>
      </w:r>
      <w:r>
        <w:t xml:space="preserve"> e integração de energia não apresentou desvios numéricos, assegurando a exatidão no faturamento energético total de </w:t>
      </w:r>
      <w:r>
        <w:rPr>
          <w:b/>
        </w:rPr>
        <w:t>1.745.130,00 Gcal</w:t>
      </w:r>
      <w:r>
        <w:t>.</w:t>
      </w:r>
    </w:p>
    <w:p>
      <w:pPr>
        <w:pStyle w:val="ListNumber"/>
      </w:pPr>
      <w:r>
        <w:rPr>
          <w:b/>
        </w:rPr>
        <w:t>Estabilidade de Processo em Grandes Consumidores:</w:t>
      </w:r>
      <w:r>
        <w:t xml:space="preserve"> As Empresas A e B, responsáveis por </w:t>
      </w:r>
      <w:r>
        <w:rPr>
          <w:b/>
        </w:rPr>
        <w:t>81,6%</w:t>
      </w:r>
      <w:r>
        <w:t xml:space="preserve"> do volume, operam com perfis de consumo previsíveis e fatores de carga estáveis, o que mitiga transientes de pressão na malha.</w:t>
      </w:r>
    </w:p>
    <w:p>
      <w:pPr>
        <w:pStyle w:val="Heading3"/>
      </w:pPr>
      <w:r>
        <w:t>8.3. Pontos de Atenção</w:t>
      </w:r>
    </w:p>
    <w:p>
      <w:pPr>
        <w:pStyle w:val="ListNumber"/>
      </w:pPr>
      <w:r>
        <w:rPr>
          <w:b/>
        </w:rPr>
        <w:t>Vulnerabilidade na Custódia de Dados:</w:t>
      </w:r>
      <w:r>
        <w:t xml:space="preserve"> A falha sistemática de telemetria ou registro na </w:t>
      </w:r>
      <w:r>
        <w:rPr>
          <w:b/>
        </w:rPr>
        <w:t>Empresa D</w:t>
      </w:r>
      <w:r>
        <w:t xml:space="preserve"> representa um risco regulatório, impedindo a fiscalização plena da continuidade do suprimento.</w:t>
      </w:r>
    </w:p>
    <w:p>
      <w:pPr>
        <w:pStyle w:val="ListNumber"/>
      </w:pPr>
      <w:r>
        <w:rPr>
          <w:b/>
        </w:rPr>
        <w:t>Operação em Baixa Vazão:</w:t>
      </w:r>
      <w:r>
        <w:t xml:space="preserve"> Clientes como C, D e G apresentam </w:t>
      </w:r>
      <w:r>
        <w:rPr>
          <w:b/>
        </w:rPr>
        <w:t>Fatores de Carga (FC)</w:t>
      </w:r>
      <w:r>
        <w:t xml:space="preserve"> inferiores a </w:t>
      </w:r>
      <w:r>
        <w:rPr>
          <w:b/>
        </w:rPr>
        <w:t>0,330</w:t>
      </w:r>
      <w:r>
        <w:t>, operando frequentemente próximos ao limite inferior de linearidade (</w:t>
      </w:r>
      <m:oMath>
        <m:sSub>
          <m:e>
            <m:r>
              <m:t>Q</m:t>
            </m:r>
          </m:e>
          <m:sub>
            <m:r>
              <m:t>min</m:t>
            </m:r>
          </m:sub>
        </m:sSub>
      </m:oMath>
      <w:r>
        <w:t>) dos medidores.</w:t>
      </w:r>
    </w:p>
    <w:p>
      <w:pPr>
        <w:pStyle w:val="ListNumber"/>
      </w:pPr>
      <w:r>
        <w:rPr>
          <w:b/>
        </w:rPr>
        <w:t>Degradação da Precisão na Distribuição:</w:t>
      </w:r>
      <w:r>
        <w:t xml:space="preserve"> A discrepância entre a incerteza de entrada (</w:t>
      </w:r>
      <w:r>
        <w:rPr>
          <w:b/>
        </w:rPr>
        <w:t>1,52%</w:t>
      </w:r>
      <w:r>
        <w:t>) e de saída (</w:t>
      </w:r>
      <w:r>
        <w:rPr>
          <w:b/>
        </w:rPr>
        <w:t>6,19%</w:t>
      </w:r>
      <w:r>
        <w:t>) indica que as perdas não contabilizadas do sistema podem estar sendo mascaradas por medições de baixa acurácia nos pontos de entrega industriais.</w:t>
      </w:r>
    </w:p>
    <w:p>
      <w:pPr>
        <w:pStyle w:val="ListNumber"/>
      </w:pPr>
      <w:r>
        <w:rPr>
          <w:b/>
        </w:rPr>
        <w:t>Sazonalidade Térmica:</w:t>
      </w:r>
      <w:r>
        <w:t xml:space="preserve"> Observou-se uma tendência de queda nas temperaturas de operação durante o inverno, exigindo que a manutenção dos sensores de temperatura seja rigorosa para evitar erros no </w:t>
      </w:r>
      <w:r>
        <w:rPr>
          <w:b/>
        </w:rPr>
        <w:t>Fator de Correção (C)</w:t>
      </w:r>
      <w:r>
        <w:t>.</w:t>
      </w:r>
    </w:p>
    <w:p>
      <w:pPr>
        <w:pStyle w:val="Heading3"/>
      </w:pPr>
      <w:r>
        <w:t>8.4. Recomendações Priorizadas</w:t>
      </w:r>
    </w:p>
    <w:p>
      <w:r>
        <w:t>A tabela abaixo consolida as ações necessárias para o reenquadramento técnico do distrito:</w:t>
      </w:r>
    </w:p>
    <w:tbl>
      <w:tblPr>
        <w:tblStyle w:val="TableGrid"/>
        <w:tblW w:type="auto" w:w="0"/>
        <w:jc w:val="center"/>
        <w:tblLook w:firstColumn="1" w:firstRow="1" w:lastColumn="0" w:lastRow="0" w:noHBand="0" w:noVBand="1" w:val="04A0"/>
      </w:tblPr>
      <w:tblGrid>
        <w:gridCol w:w="3041"/>
        <w:gridCol w:w="3041"/>
        <w:gridCol w:w="3041"/>
      </w:tblGrid>
      <w:tr>
        <w:tc>
          <w:tcPr>
            <w:tcW w:type="dxa" w:w="3041"/>
            <w:shd w:fill="1A237E"/>
          </w:tcPr>
          <w:p>
            <w:pPr>
              <w:jc w:val="center"/>
            </w:pPr>
            <w:r>
              <w:rPr>
                <w:b/>
                <w:color w:val="FFFFFF"/>
                <w:sz w:val="18"/>
              </w:rPr>
              <w:t>Prioridade</w:t>
            </w:r>
          </w:p>
        </w:tc>
        <w:tc>
          <w:tcPr>
            <w:tcW w:type="dxa" w:w="3041"/>
            <w:shd w:fill="1A237E"/>
          </w:tcPr>
          <w:p>
            <w:pPr>
              <w:jc w:val="center"/>
            </w:pPr>
            <w:r>
              <w:rPr>
                <w:b/>
                <w:color w:val="FFFFFF"/>
                <w:sz w:val="18"/>
              </w:rPr>
              <w:t>Recomendação</w:t>
            </w:r>
          </w:p>
        </w:tc>
        <w:tc>
          <w:tcPr>
            <w:tcW w:type="dxa" w:w="3041"/>
            <w:shd w:fill="1A237E"/>
          </w:tcPr>
          <w:p>
            <w:pPr>
              <w:jc w:val="center"/>
            </w:pPr>
            <w:r>
              <w:rPr>
                <w:b/>
                <w:color w:val="FFFFFF"/>
                <w:sz w:val="18"/>
              </w:rPr>
              <w:t>Fundamentação Técnica</w:t>
            </w:r>
          </w:p>
        </w:tc>
      </w:tr>
      <w:tr>
        <w:tc>
          <w:tcPr>
            <w:tcW w:type="dxa" w:w="3041"/>
            <w:shd w:fill="F5F5F5"/>
          </w:tcPr>
          <w:p>
            <w:r>
              <w:rPr>
                <w:sz w:val="18"/>
              </w:rPr>
              <w:t>ALTA</w:t>
            </w:r>
          </w:p>
        </w:tc>
        <w:tc>
          <w:tcPr>
            <w:tcW w:type="dxa" w:w="3041"/>
            <w:shd w:fill="F5F5F5"/>
          </w:tcPr>
          <w:p>
            <w:r>
              <w:rPr>
                <w:sz w:val="18"/>
              </w:rPr>
              <w:t>Auditoria de telemetria e memória de massa na Empresa D.</w:t>
            </w:r>
          </w:p>
        </w:tc>
        <w:tc>
          <w:tcPr>
            <w:tcW w:type="dxa" w:w="3041"/>
            <w:shd w:fill="F5F5F5"/>
          </w:tcPr>
          <w:p>
            <w:r>
              <w:rPr>
                <w:sz w:val="18"/>
              </w:rPr>
              <w:t>A perda de 57% dos dados inviabiliza o balanço de massa e fere o dever de guarda de registros fiscais.</w:t>
            </w:r>
          </w:p>
        </w:tc>
      </w:tr>
      <w:tr>
        <w:tc>
          <w:tcPr>
            <w:tcW w:type="dxa" w:w="3041"/>
          </w:tcPr>
          <w:p>
            <w:r>
              <w:rPr>
                <w:sz w:val="18"/>
              </w:rPr>
              <w:t>ALTA</w:t>
            </w:r>
          </w:p>
        </w:tc>
        <w:tc>
          <w:tcPr>
            <w:tcW w:type="dxa" w:w="3041"/>
          </w:tcPr>
          <w:p>
            <w:r>
              <w:rPr>
                <w:sz w:val="18"/>
              </w:rPr>
              <w:t>Recalibração extraordinária e inspeção de rangeabilidade nas Empresas D e E.</w:t>
            </w:r>
          </w:p>
        </w:tc>
        <w:tc>
          <w:tcPr>
            <w:tcW w:type="dxa" w:w="3041"/>
          </w:tcPr>
          <w:p>
            <w:r>
              <w:rPr>
                <w:sz w:val="18"/>
              </w:rPr>
              <w:t>Ambos os pontos operam com incerteza expandida acima do limite de 3,00%, impactando a incerteza combinada do distrito.</w:t>
            </w:r>
          </w:p>
        </w:tc>
      </w:tr>
      <w:tr>
        <w:tc>
          <w:tcPr>
            <w:tcW w:type="dxa" w:w="3041"/>
            <w:shd w:fill="F5F5F5"/>
          </w:tcPr>
          <w:p>
            <w:r>
              <w:rPr>
                <w:sz w:val="18"/>
              </w:rPr>
              <w:t>MÉDIA</w:t>
            </w:r>
          </w:p>
        </w:tc>
        <w:tc>
          <w:tcPr>
            <w:tcW w:type="dxa" w:w="3041"/>
            <w:shd w:fill="F5F5F5"/>
          </w:tcPr>
          <w:p>
            <w:r>
              <w:rPr>
                <w:sz w:val="18"/>
              </w:rPr>
              <w:t>Substituição de medidores por tecnologias de maior rangeabilidade em C, D e G.</w:t>
            </w:r>
          </w:p>
        </w:tc>
        <w:tc>
          <w:tcPr>
            <w:tcW w:type="dxa" w:w="3041"/>
            <w:shd w:fill="F5F5F5"/>
          </w:tcPr>
          <w:p>
            <w:r>
              <w:rPr>
                <w:sz w:val="18"/>
              </w:rPr>
              <w:t>O baixo fator de carga sugere que medidores de turbina podem estar operando fora da faixa de calibração em períodos de baixa demanda.</w:t>
            </w:r>
          </w:p>
        </w:tc>
      </w:tr>
      <w:tr>
        <w:tc>
          <w:tcPr>
            <w:tcW w:type="dxa" w:w="3041"/>
          </w:tcPr>
          <w:p>
            <w:r>
              <w:rPr>
                <w:sz w:val="18"/>
              </w:rPr>
              <w:t>MÉDIA</w:t>
            </w:r>
          </w:p>
        </w:tc>
        <w:tc>
          <w:tcPr>
            <w:tcW w:type="dxa" w:w="3041"/>
          </w:tcPr>
          <w:p>
            <w:r>
              <w:rPr>
                <w:sz w:val="18"/>
              </w:rPr>
              <w:t>Implementação de monitoramento de deriva metrológica (*drift*) para o PCS.</w:t>
            </w:r>
          </w:p>
        </w:tc>
        <w:tc>
          <w:tcPr>
            <w:tcW w:type="dxa" w:w="3041"/>
          </w:tcPr>
          <w:p>
            <w:r>
              <w:rPr>
                <w:sz w:val="18"/>
              </w:rPr>
              <w:t>Garantir que quedas pontuais de PCS (como a de 9.167 kcal/Nm³ em maio) sejam comunicadas aos clientes industriais sensíveis.</w:t>
            </w:r>
          </w:p>
        </w:tc>
      </w:tr>
      <w:tr>
        <w:tc>
          <w:tcPr>
            <w:tcW w:type="dxa" w:w="3041"/>
            <w:shd w:fill="F5F5F5"/>
          </w:tcPr>
          <w:p>
            <w:r>
              <w:rPr>
                <w:sz w:val="18"/>
              </w:rPr>
              <w:t>BAIXA</w:t>
            </w:r>
          </w:p>
        </w:tc>
        <w:tc>
          <w:tcPr>
            <w:tcW w:type="dxa" w:w="3041"/>
            <w:shd w:fill="F5F5F5"/>
          </w:tcPr>
          <w:p>
            <w:r>
              <w:rPr>
                <w:sz w:val="18"/>
              </w:rPr>
              <w:t>Revisão dos coeficientes de sensibilidade no cálculo do RSS das saídas.</w:t>
            </w:r>
          </w:p>
        </w:tc>
        <w:tc>
          <w:tcPr>
            <w:tcW w:type="dxa" w:w="3041"/>
            <w:shd w:fill="F5F5F5"/>
          </w:tcPr>
          <w:p>
            <w:r>
              <w:rPr>
                <w:sz w:val="18"/>
              </w:rPr>
              <w:t>Reduzir a incerteza combinada total de 6,19% para patamares inferiores a 4,00% através de sensores de pressão de maior classe de exatidão.</w:t>
            </w:r>
          </w:p>
        </w:tc>
      </w:tr>
      <w:tr>
        <w:tc>
          <w:tcPr>
            <w:tcW w:type="dxa" w:w="3041"/>
          </w:tcPr>
          <w:p>
            <w:r>
              <w:rPr>
                <w:sz w:val="18"/>
              </w:rPr>
              <w:t>BAIXA</w:t>
            </w:r>
          </w:p>
        </w:tc>
        <w:tc>
          <w:tcPr>
            <w:tcW w:type="dxa" w:w="3041"/>
          </w:tcPr>
          <w:p>
            <w:r>
              <w:rPr>
                <w:sz w:val="18"/>
              </w:rPr>
              <w:t>Validação anual de *software* dos computadores de vazão.</w:t>
            </w:r>
          </w:p>
        </w:tc>
        <w:tc>
          <w:tcPr>
            <w:tcW w:type="dxa" w:w="3041"/>
          </w:tcPr>
          <w:p>
            <w:r>
              <w:rPr>
                <w:sz w:val="18"/>
              </w:rPr>
              <w:t>Assegurar que atualizações de firmware mantenham a conformidade com a norma AGA 8 Part 2.</w:t>
            </w:r>
          </w:p>
        </w:tc>
      </w:tr>
    </w:tbl>
    <w:p/>
    <w:p>
      <w:pPr>
        <w:pStyle w:val="Heading3"/>
      </w:pPr>
      <w:r>
        <w:t>8.5. Parecer Final do Auditor</w:t>
      </w:r>
    </w:p>
    <w:p>
      <w:r>
        <w:t xml:space="preserve">Em meu parecer profissional, as condições de operação do distrito de distribuição de gás natural apresentam uma </w:t>
      </w:r>
      <w:r>
        <w:rPr>
          <w:b/>
        </w:rPr>
        <w:t>REGULARIDADE PARCIAL</w:t>
      </w:r>
      <w:r>
        <w:t xml:space="preserve">. Embora o balanço de massa consolidado apresente um fechamento estatisticamente aceitável de </w:t>
      </w:r>
      <w:r>
        <w:rPr>
          <w:b/>
        </w:rPr>
        <w:t>1,09%</w:t>
      </w:r>
      <w:r>
        <w:t>, a integridade metrológica é comprometida por falhas graves na coleta de dados e incertezas excessivas em pontos periféricos da rede. A continuidade da operação nestes termos impõe um risco residual ao faturamento e à apuração de perdas reais, exigindo a execução imediata das recomendações de prioridade alta para garantir a plena conformidade regulatória.</w:t>
      </w:r>
    </w:p>
    <w:p>
      <w:r>
        <w:t>Este é o relatório.</w:t>
      </w:r>
    </w:p>
    <w:p>
      <w:r>
        <w:rPr>
          <w:b/>
        </w:rPr>
        <w:t>Auditor Técnico Especialista em Medição</w:t>
      </w:r>
    </w:p>
    <w:p>
      <w:r>
        <w:t>Agência Regulatória de Gás Natural</w:t>
      </w:r>
    </w:p>
    <w:p>
      <w:r>
        <w:br w:type="page"/>
      </w:r>
    </w:p>
    <w:p>
      <w:pPr>
        <w:pStyle w:val="Heading1"/>
      </w:pPr>
      <w:r>
        <w:t>Apêndice A — Código-Fonte e Resultados dos Notebooks</w:t>
      </w:r>
    </w:p>
    <w:p>
      <w:pPr>
        <w:spacing w:after="240"/>
      </w:pPr>
      <w:r>
        <w:rPr>
          <w:sz w:val="22"/>
        </w:rPr>
        <w:t>Este apêndice apresenta o código-fonte Python e os respectivos resultados de execução dos 7 notebooks Jupyter utilizados na análise de dados desta auditoria. Os notebooks foram executados sequencialmente e seus outputs preservados integralmente.</w:t>
      </w:r>
    </w:p>
    <w:p>
      <w:pPr>
        <w:pStyle w:val="Heading2"/>
      </w:pPr>
      <w:r>
        <w:t>A.1 Leitura e Exploração dos Dados</w:t>
      </w:r>
    </w:p>
    <w:p>
      <w:r>
        <w:t># Notebook 1: Leitura e Exploração dos Dados</w:t>
      </w:r>
    </w:p>
    <w:p>
      <w:pPr>
        <w:pStyle w:val="Heading2"/>
      </w:pPr>
      <w:r>
        <w:t>Curso ABAR - Medições Inteligentes e Gestão Integrada</w:t>
      </w:r>
    </w:p>
    <w:p>
      <w:pPr>
        <w:pStyle w:val="Heading3"/>
      </w:pPr>
      <w:r>
        <w:t>Objetivo</w:t>
      </w:r>
    </w:p>
    <w:p>
      <w:r>
        <w:t>Neste notebook vamos:</w:t>
      </w:r>
    </w:p>
    <w:p>
      <w:pPr>
        <w:pStyle w:val="ListNumber"/>
      </w:pPr>
      <w:r>
        <w:t>Importar os dados da planilha Excel do distrito de distribuição de gás</w:t>
      </w:r>
    </w:p>
    <w:p>
      <w:pPr>
        <w:pStyle w:val="ListNumber"/>
      </w:pPr>
      <w:r>
        <w:t>Explorar a estrutura de cada aba (colunas, tipos, quantidade de dados)</w:t>
      </w:r>
    </w:p>
    <w:p>
      <w:pPr>
        <w:pStyle w:val="ListNumber"/>
      </w:pPr>
      <w:r>
        <w:t>Identificar dados brutos vs dados derivados (calculados)</w:t>
      </w:r>
    </w:p>
    <w:p>
      <w:pPr>
        <w:pStyle w:val="ListNumber"/>
      </w:pPr>
      <w:r>
        <w:t>Gerar estatísticas descritivas básicas</w:t>
      </w:r>
    </w:p>
    <w:p>
      <w:pPr>
        <w:pStyle w:val="ListNumber"/>
      </w:pPr>
      <w:r>
        <w:t>Verificar dados faltantes e inconsistências</w:t>
      </w:r>
    </w:p>
    <w:p>
      <w:pPr>
        <w:pStyle w:val="Heading3"/>
      </w:pPr>
      <w:r>
        <w:t>Contexto</w:t>
      </w:r>
    </w:p>
    <w:p>
      <w:r>
        <w:t xml:space="preserve">A planilha contém dados operacionais de um </w:t>
      </w:r>
      <w:r>
        <w:rPr>
          <w:b/>
        </w:rPr>
        <w:t>distrito de distribuição de gás natural</w:t>
      </w:r>
      <w:r>
        <w:t xml:space="preserve"> com:</w:t>
      </w:r>
    </w:p>
    <w:p>
      <w:pPr>
        <w:pStyle w:val="ListBullet"/>
      </w:pPr>
      <w:r>
        <w:t xml:space="preserve">Medições de </w:t>
      </w:r>
      <w:r>
        <w:rPr>
          <w:b/>
        </w:rPr>
        <w:t>entrada</w:t>
      </w:r>
      <w:r>
        <w:t xml:space="preserve"> (volume, PCS, energia) comparando Concessionária e Transportadora</w:t>
      </w:r>
    </w:p>
    <w:p>
      <w:pPr>
        <w:pStyle w:val="ListBullet"/>
      </w:pPr>
      <w:r>
        <w:t xml:space="preserve">Dados horários de </w:t>
      </w:r>
      <w:r>
        <w:rPr>
          <w:b/>
        </w:rPr>
        <w:t>7 clientes</w:t>
      </w:r>
      <w:r>
        <w:t xml:space="preserve"> (volume, pressão, temperatura)</w:t>
      </w:r>
    </w:p>
    <w:p>
      <w:pPr>
        <w:pStyle w:val="ListBullet"/>
      </w:pPr>
      <w:r>
        <w:t xml:space="preserve">Análises de </w:t>
      </w:r>
      <w:r>
        <w:rPr>
          <w:b/>
        </w:rPr>
        <w:t>balanço</w:t>
      </w:r>
      <w:r>
        <w:t xml:space="preserve"> e </w:t>
      </w:r>
      <w:r>
        <w:rPr>
          <w:b/>
        </w:rPr>
        <w:t>incertezas</w:t>
      </w:r>
      <w:r>
        <w:t xml:space="preserve"> de medição</w:t>
      </w:r>
    </w:p>
    <w:p>
      <w:pPr>
        <w:pStyle w:val="ListBullet"/>
      </w:pPr>
      <w:r>
        <w:t xml:space="preserve">Período: </w:t>
      </w:r>
      <w:r>
        <w:rPr>
          <w:b/>
        </w:rPr>
        <w:t>abril a setembro de 2025</w:t>
      </w:r>
      <w:r>
        <w:t xml:space="preserve"> (183 dias)</w:t>
      </w:r>
    </w:p>
    <w:p>
      <w:pPr>
        <w:pStyle w:val="Heading2"/>
      </w:pPr>
      <w:r>
        <w:t>1. Importação das Bibliotecas</w:t>
      </w:r>
    </w:p>
    <w:p>
      <w:pPr>
        <w:spacing w:after="40" w:before="160"/>
      </w:pPr>
      <w:r>
        <w:rPr>
          <w:rFonts w:ascii="Consolas" w:hAnsi="Consolas"/>
          <w:b/>
          <w:color w:val="1A3C6E"/>
          <w:sz w:val="16"/>
        </w:rPr>
        <w:t>In [1]: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import sys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from pathlib import Path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# Configurar caminhos do projeto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PROJECT_ROOT = Path('.').resolve().parent if Path('.').resolve().name == 'notebooks' else Path('.').resolve()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sys.path.insert(0, str(PROJECT_ROOT / 'src'))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from config import DATA_DIR, GRAFICOS_DIR, EXCEL_DEFAULT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EXCEL_PATH = DATA_DIR / EXCEL_DEFAULT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import pandas as pd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import numpy as np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import matplotlib.pyplot as plt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import seaborn as sns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import warnings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# Configurações gerais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warnings.filterwarnings('ignore')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pd.set_option('display.max_columns', 20)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pd.set_option('display.float_format', '{:,.2f}'.format)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plt.rcParams['figure.figsize'] = (14, 6)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plt.rcParams['font.size'] = 12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print('Bibliotecas carregadas com sucesso!')</w:t>
      </w:r>
    </w:p>
    <w:p>
      <w:pPr>
        <w:spacing w:after="40" w:before="80"/>
      </w:pPr>
      <w:r>
        <w:rPr>
          <w:rFonts w:ascii="Consolas" w:hAnsi="Consolas"/>
          <w:b/>
          <w:color w:val="2D5016"/>
          <w:sz w:val="16"/>
        </w:rPr>
        <w:t>Out: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  <w:t>Bibliotecas carregadas com sucesso!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</w:r>
    </w:p>
    <w:p>
      <w:pPr>
        <w:pStyle w:val="Heading2"/>
      </w:pPr>
      <w:r>
        <w:t>2. Leitura do Arquivo Excel</w:t>
      </w:r>
    </w:p>
    <w:p>
      <w:r>
        <w:t xml:space="preserve">A planilha possui </w:t>
      </w:r>
      <w:r>
        <w:rPr>
          <w:b/>
        </w:rPr>
        <w:t>14 abas</w:t>
      </w:r>
      <w:r>
        <w:t>. Vamos primeiro listar todas as abas disponíveis e depois carregar cada uma individualmente, pois cada aba tem uma estrutura diferente.</w:t>
      </w:r>
    </w:p>
    <w:p>
      <w:pPr>
        <w:spacing w:after="40" w:before="160"/>
      </w:pPr>
      <w:r>
        <w:rPr>
          <w:rFonts w:ascii="Consolas" w:hAnsi="Consolas"/>
          <w:b/>
          <w:color w:val="1A3C6E"/>
          <w:sz w:val="16"/>
        </w:rPr>
        <w:t>In [2]: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# Listar todas as abas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xl = pd.ExcelFile(EXCEL_PATH)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print(f'Total de abas: {len(xl.sheet_names)}\n')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for i, nome in enumerate(xl.sheet_names, 1):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print(f'  {i:2d}. {nome}')</w:t>
      </w:r>
    </w:p>
    <w:p>
      <w:pPr>
        <w:spacing w:after="40" w:before="80"/>
      </w:pPr>
      <w:r>
        <w:rPr>
          <w:rFonts w:ascii="Consolas" w:hAnsi="Consolas"/>
          <w:b/>
          <w:color w:val="2D5016"/>
          <w:sz w:val="16"/>
        </w:rPr>
        <w:t>Out: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  <w:t>Total de abas: 14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  <w:t xml:space="preserve">   1. Vol Entrada Gas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  <w:t xml:space="preserve">   2. PCS Ent 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  <w:t xml:space="preserve">   3. Energia Ent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  <w:t xml:space="preserve">   4. Cliente #1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  <w:t xml:space="preserve">   5. Cliente #2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  <w:t xml:space="preserve">   6. Cliente #3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  <w:t xml:space="preserve">   7. Cliente #4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  <w:t xml:space="preserve">   8. Cliente #5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  <w:t xml:space="preserve">   9. Cliente #6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  <w:t xml:space="preserve">  10. Cliente #7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  <w:t xml:space="preserve">  11. Sumario das Medições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  <w:t xml:space="preserve">  12. Incertezas 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  <w:t xml:space="preserve">  13. Balanço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  <w:t xml:space="preserve">  14. Planilha1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</w:r>
    </w:p>
    <w:p>
      <w:pPr>
        <w:pStyle w:val="Heading2"/>
      </w:pPr>
      <w:r>
        <w:t>3. Aba "Vol Entrada Gas" - Volumes Diários de Entrada</w:t>
      </w:r>
    </w:p>
    <w:p>
      <w:r>
        <w:t xml:space="preserve">Esta aba compara os volumes diários medidos pela </w:t>
      </w:r>
      <w:r>
        <w:rPr>
          <w:b/>
        </w:rPr>
        <w:t>Concessionária</w:t>
      </w:r>
      <w:r>
        <w:t xml:space="preserve"> e pela </w:t>
      </w:r>
      <w:r>
        <w:rPr>
          <w:b/>
        </w:rPr>
        <w:t>Transportadora</w:t>
      </w:r>
      <w:r>
        <w:t xml:space="preserve"> no ponto de entrada do distrito. A concordância entre ambas as medições é essencial para a transferência de custódia.</w:t>
      </w:r>
    </w:p>
    <w:p>
      <w:pPr>
        <w:spacing w:after="40" w:before="160"/>
      </w:pPr>
      <w:r>
        <w:rPr>
          <w:rFonts w:ascii="Consolas" w:hAnsi="Consolas"/>
          <w:b/>
          <w:color w:val="1A3C6E"/>
          <w:sz w:val="16"/>
        </w:rPr>
        <w:t>In [3]: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# Leitura da aba de volumes de entrada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# Os dados começam na linha 2 (header na linha 1) e as colunas úteis são B a F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df_vol_entrada = pd.read_excel(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EXCEL_PATH, 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sheet_name='Vol Entrada Gas',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header=1,           # Linha do cabeçalho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usecols='B:F'       # Colunas B até F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print(f'Formato: {df_vol_entrada.shape}')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print(f'\nColunas: {list(df_vol_entrada.columns)}')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print(f'\nTipos de dados:')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print(df_vol_entrada.dtypes)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print(f'\nPrimeiras 5 linhas:')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df_vol_entrada.head()</w:t>
      </w:r>
    </w:p>
    <w:p>
      <w:pPr>
        <w:spacing w:after="40" w:before="80"/>
      </w:pPr>
      <w:r>
        <w:rPr>
          <w:rFonts w:ascii="Consolas" w:hAnsi="Consolas"/>
          <w:b/>
          <w:color w:val="2D5016"/>
          <w:sz w:val="16"/>
        </w:rPr>
        <w:t>Out: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  <w:t>Formato: (199, 5)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  <w:t>Colunas: ['Unnamed: 1', 'Concessionária Nm3/d', 'Transportadora Nm3/d', 'Dif Abs', 'Dif %']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  <w:t>Tipos de dados: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  <w:t>Unnamed: 1              object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  <w:t>Concessionária Nm3/d    object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  <w:t>Transportadora Nm3/d    object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  <w:t>Dif Abs                 object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  <w:t>Dif %                   object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  <w:t>dtype: object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  <w:t>Primeiras 5 linhas: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</w:r>
    </w:p>
    <w:p>
      <w:pPr>
        <w:spacing w:after="40" w:before="80"/>
      </w:pPr>
      <w:r>
        <w:rPr>
          <w:rFonts w:ascii="Consolas" w:hAnsi="Consolas"/>
          <w:b/>
          <w:color w:val="2D5016"/>
          <w:sz w:val="16"/>
        </w:rPr>
        <w:t>Out: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  <w:t xml:space="preserve">            Unnamed: 1 Concessionária Nm3/d Transportadora Nm3/d Dif Abs Dif %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  <w:t>0  2025-04-01 00:00:00           839,428.19               839428    0.19  0.00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  <w:t>1  2025-04-02 00:00:00           838,410.88               838411   -0.12 -0.00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  <w:t>2  2025-04-03 00:00:00           802,091.38               802091    0.38  0.00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  <w:t>3  2025-04-04 00:00:00           987,160.12               987160    0.12  0.00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  <w:t>4  2025-04-05 00:00:00         1,067,652.62              1067653   -0.38 -0.00</w:t>
      </w:r>
    </w:p>
    <w:p>
      <w:pPr>
        <w:spacing w:after="40" w:before="160"/>
      </w:pPr>
      <w:r>
        <w:rPr>
          <w:rFonts w:ascii="Consolas" w:hAnsi="Consolas"/>
          <w:b/>
          <w:color w:val="1A3C6E"/>
          <w:sz w:val="16"/>
        </w:rPr>
        <w:t>In [4]: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# Renomear colunas para facilitar o trabalho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# Vamos verificar os nomes originais e padronizar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print('Nomes originais das colunas:')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for i, col in enumerate(df_vol_entrada.columns):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print(f'  [{i}] {repr(col)}')</w:t>
      </w:r>
    </w:p>
    <w:p>
      <w:pPr>
        <w:spacing w:after="40" w:before="80"/>
      </w:pPr>
      <w:r>
        <w:rPr>
          <w:rFonts w:ascii="Consolas" w:hAnsi="Consolas"/>
          <w:b/>
          <w:color w:val="2D5016"/>
          <w:sz w:val="16"/>
        </w:rPr>
        <w:t>Out: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  <w:t>Nomes originais das colunas: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  <w:t xml:space="preserve">  [0] 'Unnamed: 1'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  <w:t xml:space="preserve">  [1] 'Concessionária Nm3/d'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  <w:t xml:space="preserve">  [2] 'Transportadora Nm3/d'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  <w:t xml:space="preserve">  [3] 'Dif Abs'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  <w:t xml:space="preserve">  [4] 'Dif %'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</w:r>
    </w:p>
    <w:p>
      <w:pPr>
        <w:spacing w:after="40" w:before="160"/>
      </w:pPr>
      <w:r>
        <w:rPr>
          <w:rFonts w:ascii="Consolas" w:hAnsi="Consolas"/>
          <w:b/>
          <w:color w:val="1A3C6E"/>
          <w:sz w:val="16"/>
        </w:rPr>
        <w:t>In [5]: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# Limpar dados: remover linhas de resumo (AVERAGE, MIN, MAX) que ficam no final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# Manter apenas linhas com datas válidas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df_vol_entrada_raw = df_vol_entrada.copy()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# Identificar a coluna de data (primeira coluna)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col_data = df_vol_entrada.columns[0]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df_vol_entrada = df_vol_entrada.dropna(subset=[col_data])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# Converter para datetime se necessário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df_vol_entrada[col_data] = pd.to_datetime(df_vol_entrada[col_data], errors='coerce')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df_vol_entrada = df_vol_entrada.dropna(subset=[col_data])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print(f'Linhas de dados válidos: {len(df_vol_entrada)}')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print(f'Período: {df_vol_entrada[col_data].min()} a {df_vol_entrada[col_data].max()}')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print(f'\nÚltimas 5 linhas:')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df_vol_entrada.tail()</w:t>
      </w:r>
    </w:p>
    <w:p>
      <w:pPr>
        <w:spacing w:after="40" w:before="80"/>
      </w:pPr>
      <w:r>
        <w:rPr>
          <w:rFonts w:ascii="Consolas" w:hAnsi="Consolas"/>
          <w:b/>
          <w:color w:val="2D5016"/>
          <w:sz w:val="16"/>
        </w:rPr>
        <w:t>Out: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  <w:t>Linhas de dados válidos: 183</w:t>
      </w:r>
    </w:p>
    <w:p>
      <w:pPr>
        <w:spacing w:after="40" w:before="80"/>
      </w:pPr>
      <w:r>
        <w:rPr>
          <w:rFonts w:ascii="Consolas" w:hAnsi="Consolas"/>
          <w:b/>
          <w:color w:val="2D5016"/>
          <w:sz w:val="16"/>
        </w:rPr>
        <w:t>Out: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  <w:t>Período: 2025-04-01 00:00:00 a 2025-09-30 00:00:00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  <w:t>Últimas 5 linhas: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</w:r>
    </w:p>
    <w:p>
      <w:pPr>
        <w:spacing w:after="40" w:before="80"/>
      </w:pPr>
      <w:r>
        <w:rPr>
          <w:rFonts w:ascii="Consolas" w:hAnsi="Consolas"/>
          <w:b/>
          <w:color w:val="2D5016"/>
          <w:sz w:val="16"/>
        </w:rPr>
        <w:t>Out: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  <w:t xml:space="preserve">    Unnamed: 1 Concessionária Nm3/d Transportadora Nm3/d Dif Abs Dif %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  <w:t>178 2025-09-26         1,027,460.12              1027460    0.12  0.00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  <w:t>179 2025-09-27         1,083,484.88              1083485   -0.12 -0.00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  <w:t>180 2025-09-28         1,093,346.25              1093346    0.25  0.00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  <w:t>181 2025-09-29         1,102,152.50              1102153   -0.50 -0.00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  <w:t>182 2025-09-30           878,328.94               878329   -0.06 -0.00</w:t>
      </w:r>
    </w:p>
    <w:p>
      <w:pPr>
        <w:spacing w:after="40" w:before="160"/>
      </w:pPr>
      <w:r>
        <w:rPr>
          <w:rFonts w:ascii="Consolas" w:hAnsi="Consolas"/>
          <w:b/>
          <w:color w:val="1A3C6E"/>
          <w:sz w:val="16"/>
        </w:rPr>
        <w:t>In [6]: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# Estatísticas descritivas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print('=== Estatísticas - Volumes de Entrada (Nm³/d) ===')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df_vol_entrada.describe()</w:t>
      </w:r>
    </w:p>
    <w:p>
      <w:pPr>
        <w:spacing w:after="40" w:before="80"/>
      </w:pPr>
      <w:r>
        <w:rPr>
          <w:rFonts w:ascii="Consolas" w:hAnsi="Consolas"/>
          <w:b/>
          <w:color w:val="2D5016"/>
          <w:sz w:val="16"/>
        </w:rPr>
        <w:t>Out: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  <w:t>=== Estatísticas - Volumes de Entrada (Nm³/d) ===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</w:r>
    </w:p>
    <w:p>
      <w:pPr>
        <w:spacing w:after="40" w:before="80"/>
      </w:pPr>
      <w:r>
        <w:rPr>
          <w:rFonts w:ascii="Consolas" w:hAnsi="Consolas"/>
          <w:b/>
          <w:color w:val="2D5016"/>
          <w:sz w:val="16"/>
        </w:rPr>
        <w:t>Out: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  <w:t xml:space="preserve">                Unnamed: 1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  <w:t>count                  183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  <w:t>mean   2025-07-01 00:00:00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  <w:t>min    2025-04-01 00:00:00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  <w:t>25%    2025-05-16 12:00:00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  <w:t>50%    2025-07-01 00:00:00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  <w:t>75%    2025-08-15 12:00:00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  <w:t>max    2025-09-30 00:00:00</w:t>
      </w:r>
    </w:p>
    <w:p>
      <w:pPr>
        <w:pStyle w:val="Heading2"/>
      </w:pPr>
      <w:r>
        <w:t>4. Aba "PCS Ent" - Poder Calorífico Superior</w:t>
      </w:r>
    </w:p>
    <w:p>
      <w:r>
        <w:t xml:space="preserve">O </w:t>
      </w:r>
      <w:r>
        <w:rPr>
          <w:b/>
        </w:rPr>
        <w:t>PCS (Poder Calorífico Superior)</w:t>
      </w:r>
      <w:r>
        <w:t xml:space="preserve"> indica a quantidade de energia contida em cada metro cúbico de gás (kcal/m³). É fundamental para a comercialização de energia.</w:t>
      </w:r>
    </w:p>
    <w:p>
      <w:pPr>
        <w:spacing w:after="40" w:before="160"/>
      </w:pPr>
      <w:r>
        <w:rPr>
          <w:rFonts w:ascii="Consolas" w:hAnsi="Consolas"/>
          <w:b/>
          <w:color w:val="1A3C6E"/>
          <w:sz w:val="16"/>
        </w:rPr>
        <w:t>In [7]: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# Leitura da aba de PCS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# NOTA: O nome da aba tem um espaço no final: 'PCS Ent '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df_pcs = pd.read_excel(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EXCEL_PATH, 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sheet_name='PCS Ent ',  # Espaço no final é intencional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header=1,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usecols='B:F'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# Limpar: manter apenas linhas com datas válidas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col_data_pcs = df_pcs.columns[0]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df_pcs[col_data_pcs] = pd.to_datetime(df_pcs[col_data_pcs], errors='coerce')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df_pcs = df_pcs.dropna(subset=[col_data_pcs])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print(f'Formato: {df_pcs.shape}')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print(f'Período: {df_pcs[col_data_pcs].min()} a {df_pcs[col_data_pcs].max()}')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print(f'\nColunas: {list(df_pcs.columns)}')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print(f'\nEstatísticas:')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df_pcs.describe()</w:t>
      </w:r>
    </w:p>
    <w:p>
      <w:pPr>
        <w:spacing w:after="40" w:before="80"/>
      </w:pPr>
      <w:r>
        <w:rPr>
          <w:rFonts w:ascii="Consolas" w:hAnsi="Consolas"/>
          <w:b/>
          <w:color w:val="2D5016"/>
          <w:sz w:val="16"/>
        </w:rPr>
        <w:t>Out: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  <w:t>Formato: (183, 5)</w:t>
      </w:r>
    </w:p>
    <w:p>
      <w:pPr>
        <w:spacing w:after="40" w:before="80"/>
      </w:pPr>
      <w:r>
        <w:rPr>
          <w:rFonts w:ascii="Consolas" w:hAnsi="Consolas"/>
          <w:b/>
          <w:color w:val="2D5016"/>
          <w:sz w:val="16"/>
        </w:rPr>
        <w:t>Out: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  <w:t>Período: 2025-04-01 00:00:00 a 2025-09-30 00:00:00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  <w:t>Colunas: ['Unnamed: 1', 'Concessionária kcal/m3', 'Trnsportadora kcal/m3', 'Dif Abs', 'Dif %']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  <w:t>Estatísticas: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</w:r>
    </w:p>
    <w:p>
      <w:pPr>
        <w:spacing w:after="40" w:before="80"/>
      </w:pPr>
      <w:r>
        <w:rPr>
          <w:rFonts w:ascii="Consolas" w:hAnsi="Consolas"/>
          <w:b/>
          <w:color w:val="2D5016"/>
          <w:sz w:val="16"/>
        </w:rPr>
        <w:t>Out: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  <w:t xml:space="preserve">                Unnamed: 1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  <w:t>count                  183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  <w:t>mean   2025-07-01 00:00:00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  <w:t>min    2025-04-01 00:00:00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  <w:t>25%    2025-05-16 12:00:00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  <w:t>50%    2025-07-01 00:00:00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  <w:t>75%    2025-08-15 12:00:00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  <w:t>max    2025-09-30 00:00:00</w:t>
      </w:r>
    </w:p>
    <w:p>
      <w:pPr>
        <w:pStyle w:val="Heading2"/>
      </w:pPr>
      <w:r>
        <w:t>5. Aba "Energia Ent" - Energia Diária</w:t>
      </w:r>
    </w:p>
    <w:p>
      <w:r>
        <w:t xml:space="preserve">A energia é calculada como: </w:t>
      </w:r>
      <w:r>
        <w:rPr>
          <w:b/>
        </w:rPr>
        <w:t>Energia (kcal) = Volume (Nm³) × PCS (kcal/Nm³)</w:t>
      </w:r>
    </w:p>
    <w:p>
      <w:pPr>
        <w:spacing w:after="40" w:before="160"/>
      </w:pPr>
      <w:r>
        <w:rPr>
          <w:rFonts w:ascii="Consolas" w:hAnsi="Consolas"/>
          <w:b/>
          <w:color w:val="1A3C6E"/>
          <w:sz w:val="16"/>
        </w:rPr>
        <w:t>In [8]: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# Leitura da aba de energia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# NOTA: Coluna B está vazia nesta aba, dados começam na coluna C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df_energia = pd.read_excel(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EXCEL_PATH, 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sheet_name='Energia Ent',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header=1,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usecols='C:J'  # Dados de C a J (B está vazia)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# Limpar dados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col_data_en = df_energia.columns[0]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df_energia[col_data_en] = pd.to_datetime(df_energia[col_data_en], errors='coerce')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df_energia = df_energia.dropna(subset=[col_data_en])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print(f'Formato: {df_energia.shape}')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print(f'\nColunas:')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for i, col in enumerate(df_energia.columns):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print(f'  [{i}] {col}')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print(f'\nPrimeiras linhas:')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df_energia.head()</w:t>
      </w:r>
    </w:p>
    <w:p>
      <w:pPr>
        <w:spacing w:after="40" w:before="80"/>
      </w:pPr>
      <w:r>
        <w:rPr>
          <w:rFonts w:ascii="Consolas" w:hAnsi="Consolas"/>
          <w:b/>
          <w:color w:val="2D5016"/>
          <w:sz w:val="16"/>
        </w:rPr>
        <w:t>Out: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  <w:t>Formato: (184, 8)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  <w:t>Colunas: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  <w:t xml:space="preserve">  [0] Vol Concessionária m3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  <w:t xml:space="preserve">  [1] PC Concessionária kcal/m3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  <w:t xml:space="preserve">  [2] Energia Concessionária kcal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  <w:t xml:space="preserve">  [3] Vol Transportadora m3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  <w:t xml:space="preserve">  [4] PC Transportadora Kcal/m3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  <w:t xml:space="preserve">  [5] Energia Transportadora kcal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  <w:t xml:space="preserve">  [6] Dif Abs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  <w:t xml:space="preserve">  [7] Dif %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  <w:t>Primeiras linhas: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</w:r>
    </w:p>
    <w:p>
      <w:pPr>
        <w:spacing w:after="40" w:before="80"/>
      </w:pPr>
      <w:r>
        <w:rPr>
          <w:rFonts w:ascii="Consolas" w:hAnsi="Consolas"/>
          <w:b/>
          <w:color w:val="2D5016"/>
          <w:sz w:val="16"/>
        </w:rPr>
        <w:t>Out: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  <w:t xml:space="preserve">          Vol Concessionária m3  PC Concessionária kcal/m3  \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  <w:t xml:space="preserve">0 1970-01-01 00:00:00.000839428                   9,774.69   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  <w:t xml:space="preserve">1 1970-01-01 00:00:00.000838410                   9,629.97   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  <w:t xml:space="preserve">2 1970-01-01 00:00:00.000802091                   9,668.40   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  <w:t xml:space="preserve">3 1970-01-01 00:00:00.000987160                   9,614.43   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  <w:t xml:space="preserve">4 1970-01-01 00:00:00.001067652                   9,588.80   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  <w:t xml:space="preserve">   Energia Concessionária kcal  Vol Transportadora m3  \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  <w:t xml:space="preserve">0             8,205,153,164.13             839,428.00   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  <w:t xml:space="preserve">1             8,073,874,424.52             838,411.00   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  <w:t xml:space="preserve">2             7,754,938,645.87             802,091.00   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  <w:t xml:space="preserve">3             9,490,979,255.27             987,160.00   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  <w:t xml:space="preserve">4            10,237,509,198.84           1,067,653.00   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  <w:t xml:space="preserve">   PC Transportadora Kcal/m3  Energia Transportadora kcal     Dif Abs  Dif %  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  <w:t xml:space="preserve">0                   9,775.00             8,205,408,700.00 -255,535.87  -0.00  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  <w:t xml:space="preserve">1                   9,630.00             8,073,897,930.00  -23,505.48  -0.00  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  <w:t xml:space="preserve">2                   9,668.00             7,754,615,788.00  322,857.87   0.00  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  <w:t xml:space="preserve">3                   9,614.00             9,490,556,240.00  423,015.27   0.00  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  <w:t xml:space="preserve">4                   9,589.00            10,237,724,617.00 -215,418.16  -0.00  </w:t>
      </w:r>
    </w:p>
    <w:p>
      <w:pPr>
        <w:spacing w:after="40" w:before="160"/>
      </w:pPr>
      <w:r>
        <w:rPr>
          <w:rFonts w:ascii="Consolas" w:hAnsi="Consolas"/>
          <w:b/>
          <w:color w:val="1A3C6E"/>
          <w:sz w:val="16"/>
        </w:rPr>
        <w:t>In [9]: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# Estatísticas de energia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print('=== Estatísticas - Energia de Entrada (kcal) ===')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df_energia.describe()</w:t>
      </w:r>
    </w:p>
    <w:p>
      <w:pPr>
        <w:spacing w:after="40" w:before="80"/>
      </w:pPr>
      <w:r>
        <w:rPr>
          <w:rFonts w:ascii="Consolas" w:hAnsi="Consolas"/>
          <w:b/>
          <w:color w:val="2D5016"/>
          <w:sz w:val="16"/>
        </w:rPr>
        <w:t>Out: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  <w:t>=== Estatísticas - Energia de Entrada (kcal) ===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</w:r>
    </w:p>
    <w:p>
      <w:pPr>
        <w:spacing w:after="40" w:before="80"/>
      </w:pPr>
      <w:r>
        <w:rPr>
          <w:rFonts w:ascii="Consolas" w:hAnsi="Consolas"/>
          <w:b/>
          <w:color w:val="2D5016"/>
          <w:sz w:val="16"/>
        </w:rPr>
        <w:t>Out: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  <w:t xml:space="preserve">               Vol Concessionária m3  PC Concessionária kcal/m3  \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  <w:t xml:space="preserve">count                            184                     183.00   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  <w:t xml:space="preserve">mean   1970-01-01 00:00:00.000999561                   9,538.92   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  <w:t xml:space="preserve">min    1970-01-01 00:00:00.000505964                   9,167.85   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  <w:t xml:space="preserve">25%    1970-01-01 00:00:00.000906232                   9,468.24   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  <w:t xml:space="preserve">50%    1970-01-01 00:00:00.001047207                   9,541.73   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  <w:t xml:space="preserve">75%    1970-01-01 00:00:00.001115319                   9,611.41   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  <w:t xml:space="preserve">max    1970-01-01 00:00:00.001240864                   9,785.96   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  <w:t xml:space="preserve">std                              NaN                     104.34   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  <w:t xml:space="preserve">       Energia Concessionária kcal  Vol Transportadora m3  \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  <w:t xml:space="preserve">count                       183.00                 183.00   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  <w:t xml:space="preserve">mean              9,536,231,886.60             999,562.11   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  <w:t xml:space="preserve">min               4,779,246,288.25             505,965.00   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  <w:t xml:space="preserve">25%               8,527,234,642.37             906,216.00   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  <w:t xml:space="preserve">50%               9,978,459,720.90           1,048,720.00   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  <w:t xml:space="preserve">75%              10,671,165,280.04           1,115,515.50   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  <w:t xml:space="preserve">max              11,730,525,650.47           1,240,865.00   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  <w:t xml:space="preserve">std               1,617,957,824.42             168,609.19   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  <w:t xml:space="preserve">       PC Transportadora Kcal/m3  Energia Transportadora kcal  \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  <w:t xml:space="preserve">count                     183.00                       184.00   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  <w:t xml:space="preserve">mean                    9,538.91             9,536,227,816.57   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  <w:t xml:space="preserve">min                     9,168.00             4,779,345,390.00   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  <w:t xml:space="preserve">25%                     9,468.00             8,541,479,180.50   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  <w:t xml:space="preserve">50%                     9,542.00             9,976,962,817.00   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  <w:t xml:space="preserve">75%                     9,611.50            10,662,160,405.75   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  <w:t xml:space="preserve">max                     9,786.00            11,731,137,710.00   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  <w:t xml:space="preserve">std                       104.34             1,613,536,664.62   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  <w:t xml:space="preserve">                Dif Abs     Dif %  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  <w:t xml:space="preserve">count            184.00    184.00  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  <w:t xml:space="preserve">mean     -51,817,844.78    -51.84  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  <w:t xml:space="preserve">min   -9,535,228,254.55 -9,539.41  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  <w:t xml:space="preserve">25%         -227,906.37     -0.00  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  <w:t xml:space="preserve">50%           13,133.43      0.00  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  <w:t xml:space="preserve">75%          241,175.78      0.00  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  <w:t xml:space="preserve">max          535,009.25      0.00  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  <w:t xml:space="preserve">std      702,946,714.23    703.25  </w:t>
      </w:r>
    </w:p>
    <w:p>
      <w:pPr>
        <w:pStyle w:val="Heading2"/>
      </w:pPr>
      <w:r>
        <w:t>6. Abas dos Clientes - Dados Horários</w:t>
      </w:r>
    </w:p>
    <w:p>
      <w:r>
        <w:t xml:space="preserve">Cada cliente possui dados de medição </w:t>
      </w:r>
      <w:r>
        <w:rPr>
          <w:b/>
        </w:rPr>
        <w:t>horária</w:t>
      </w:r>
      <w:r>
        <w:t xml:space="preserve"> (4.344 registros) com:</w:t>
      </w:r>
    </w:p>
    <w:p>
      <w:pPr>
        <w:pStyle w:val="ListBullet"/>
      </w:pPr>
      <w:r>
        <w:rPr>
          <w:b/>
        </w:rPr>
        <w:t>Volume</w:t>
      </w:r>
      <w:r>
        <w:t xml:space="preserve"> (Nm³/h) - vazão horária</w:t>
      </w:r>
    </w:p>
    <w:p>
      <w:pPr>
        <w:pStyle w:val="ListBullet"/>
      </w:pPr>
      <w:r>
        <w:rPr>
          <w:b/>
        </w:rPr>
        <w:t>Pressão</w:t>
      </w:r>
      <w:r>
        <w:t xml:space="preserve"> (bara) - pressão absoluta</w:t>
      </w:r>
    </w:p>
    <w:p>
      <w:pPr>
        <w:pStyle w:val="ListBullet"/>
      </w:pPr>
      <w:r>
        <w:rPr>
          <w:b/>
        </w:rPr>
        <w:t>Temperatura</w:t>
      </w:r>
      <w:r>
        <w:t xml:space="preserve"> (°C) - temperatura do gás</w:t>
      </w:r>
    </w:p>
    <w:p>
      <w:r>
        <w:t>Vamos carregar todos os 7 clientes em um dicionário para fácil acesso.</w:t>
      </w:r>
    </w:p>
    <w:p>
      <w:pPr>
        <w:spacing w:after="40" w:before="160"/>
      </w:pPr>
      <w:r>
        <w:rPr>
          <w:rFonts w:ascii="Consolas" w:hAnsi="Consolas"/>
          <w:b/>
          <w:color w:val="1A3C6E"/>
          <w:sz w:val="16"/>
        </w:rPr>
        <w:t>In [10]: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# Mapeamento: nome da aba -&gt; nome real do cliente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CLIENTES_NOMES = {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'Cliente #1': 'Empresa A',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'Cliente #2': 'Empresa B',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'Cliente #3': 'Empresa C',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'Cliente #4': 'Empresa D',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'Cliente #5': 'Empresa E',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'Cliente #6': 'Empresa F',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'Cliente #7': 'Empresa G'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}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# Volume conhecido da Planilha1 para clientes sem dados horários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VOLUMES_REFERENCIA = {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'Empresa D': 88184  # Nm³ total no período (da aba Planilha1)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}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# Carregar dados de cada cliente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clientes = {}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for aba, nome in CLIENTES_NOMES.items():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try: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    df = pd.read_excel(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        EXCEL_PATH, 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        sheet_name=aba,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        header=2,           # Cabeçalho na linha 3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        usecols='B:E'       # Data, Volume, Pressão, Temperatura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    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    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    # Limpar: manter apenas linhas com timestamps válidos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    col_data_cli = df.columns[0]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    df[col_data_cli] = pd.to_datetime(df[col_data_cli], errors='coerce')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    df = df.dropna(subset=[col_data_cli])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    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    # Padronizar nomes das colunas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    df.columns = ['Data', 'Volume_Nm3h', 'Pressao_bara', 'Temperatura_C']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    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    # Converter colunas numéricas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    for col in ['Volume_Nm3h', 'Pressao_bara', 'Temperatura_C']: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        df[col] = pd.to_numeric(df[col], errors='coerce')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    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    if len(df) == 0 or df['Volume_Nm3h'].notna().sum() == 0: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        print(f'! {aba} ({nome}): SEM DADOS HORÁRIOS', end='')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        if nome in VOLUMES_REFERENCIA: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            print(f' (volume de referência: {VOLUMES_REFERENCIA[nome]:,.0f} Nm³)')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        else: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            print()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        clientes[aba] = {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            'nome': nome,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            'dados': df,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            'sem_dados': True,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            'vol_referencia': VOLUMES_REFERENCIA.get(nome, 0)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        }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    else: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        clientes[aba] = {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            'nome': nome,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            'dados': df,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            'sem_dados': False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        }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        print(f'  {aba} ({nome}): {len(df)} registros')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except Exception as e: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    print(f'X {aba} ({nome}): ERRO - {e}')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print(f'\nTotal de clientes carregados: {len(clientes)}')</w:t>
      </w:r>
    </w:p>
    <w:p>
      <w:pPr>
        <w:spacing w:after="40" w:before="80"/>
      </w:pPr>
      <w:r>
        <w:rPr>
          <w:rFonts w:ascii="Consolas" w:hAnsi="Consolas"/>
          <w:b/>
          <w:color w:val="2D5016"/>
          <w:sz w:val="16"/>
        </w:rPr>
        <w:t>Out: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  <w:t xml:space="preserve">  Cliente #1 (Empresa A): 4344 registros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</w:r>
    </w:p>
    <w:p>
      <w:pPr>
        <w:spacing w:after="40" w:before="80"/>
      </w:pPr>
      <w:r>
        <w:rPr>
          <w:rFonts w:ascii="Consolas" w:hAnsi="Consolas"/>
          <w:b/>
          <w:color w:val="2D5016"/>
          <w:sz w:val="16"/>
        </w:rPr>
        <w:t>Out: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  <w:t xml:space="preserve">  Cliente #2 (Empresa B): 4344 registros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</w:r>
    </w:p>
    <w:p>
      <w:pPr>
        <w:spacing w:after="40" w:before="80"/>
      </w:pPr>
      <w:r>
        <w:rPr>
          <w:rFonts w:ascii="Consolas" w:hAnsi="Consolas"/>
          <w:b/>
          <w:color w:val="2D5016"/>
          <w:sz w:val="16"/>
        </w:rPr>
        <w:t>Out: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  <w:t xml:space="preserve">  Cliente #3 (Empresa C): 4367 registros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</w:r>
    </w:p>
    <w:p>
      <w:pPr>
        <w:spacing w:after="40" w:before="80"/>
      </w:pPr>
      <w:r>
        <w:rPr>
          <w:rFonts w:ascii="Consolas" w:hAnsi="Consolas"/>
          <w:b/>
          <w:color w:val="2D5016"/>
          <w:sz w:val="16"/>
        </w:rPr>
        <w:t>Out: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  <w:t xml:space="preserve">  Cliente #4 (Empresa D): 4344 registros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</w:r>
    </w:p>
    <w:p>
      <w:pPr>
        <w:spacing w:after="40" w:before="80"/>
      </w:pPr>
      <w:r>
        <w:rPr>
          <w:rFonts w:ascii="Consolas" w:hAnsi="Consolas"/>
          <w:b/>
          <w:color w:val="2D5016"/>
          <w:sz w:val="16"/>
        </w:rPr>
        <w:t>Out: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  <w:t xml:space="preserve">  Cliente #5 (Empresa E): 4344 registros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</w:r>
    </w:p>
    <w:p>
      <w:pPr>
        <w:spacing w:after="40" w:before="80"/>
      </w:pPr>
      <w:r>
        <w:rPr>
          <w:rFonts w:ascii="Consolas" w:hAnsi="Consolas"/>
          <w:b/>
          <w:color w:val="2D5016"/>
          <w:sz w:val="16"/>
        </w:rPr>
        <w:t>Out: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  <w:t xml:space="preserve">  Cliente #6 (Empresa F): 4344 registros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</w:r>
    </w:p>
    <w:p>
      <w:pPr>
        <w:spacing w:after="40" w:before="80"/>
      </w:pPr>
      <w:r>
        <w:rPr>
          <w:rFonts w:ascii="Consolas" w:hAnsi="Consolas"/>
          <w:b/>
          <w:color w:val="2D5016"/>
          <w:sz w:val="16"/>
        </w:rPr>
        <w:t>Out: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  <w:t xml:space="preserve">  Cliente #7 (Empresa G): 4344 registros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  <w:t>Total de clientes carregados: 7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</w:r>
    </w:p>
    <w:p>
      <w:pPr>
        <w:spacing w:after="40" w:before="160"/>
      </w:pPr>
      <w:r>
        <w:rPr>
          <w:rFonts w:ascii="Consolas" w:hAnsi="Consolas"/>
          <w:b/>
          <w:color w:val="1A3C6E"/>
          <w:sz w:val="16"/>
        </w:rPr>
        <w:t>In [11]: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# Resumo de cada cliente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print('=== Resumo por Cliente ===')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print(f'{"Cliente":&lt;25} {"Registros":&gt;10} {"Vol Min":&gt;12} {"Vol Méd":&gt;12} {"Vol Max":&gt;12} {"Vol Total (Mm³)":&gt;16}')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print('-' * 90)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for aba, info in clientes.items():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df = info['dados']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nome = info['nome']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vol = df['Volume_Nm3h']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vol_total = vol.sum() / 1e6  # Converter para milhões de Nm³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print(f'{nome:&lt;25} {len(df):&gt;10,} {vol.min():&gt;12,.0f} {vol.mean():&gt;12,.0f} {vol.max():&gt;12,.0f} {vol_total:&gt;16,.2f}')</w:t>
      </w:r>
    </w:p>
    <w:p>
      <w:pPr>
        <w:spacing w:after="40" w:before="80"/>
      </w:pPr>
      <w:r>
        <w:rPr>
          <w:rFonts w:ascii="Consolas" w:hAnsi="Consolas"/>
          <w:b/>
          <w:color w:val="2D5016"/>
          <w:sz w:val="16"/>
        </w:rPr>
        <w:t>Out: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  <w:t>=== Resumo por Cliente ===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  <w:t>Cliente                    Registros      Vol Min      Vol Méd      Vol Max  Vol Total (Mm³)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  <w:t>------------------------------------------------------------------------------------------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  <w:t>Empresa A                    4,344        1,359       23,965       31,245           104.10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  <w:t>Empresa B            4,344          178       10,052       17,113            43.66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  <w:t>Empresa C              4,367            0        1,567        4,959             6.84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  <w:t>Empresa D                     4,344            0           47          187             0.09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  <w:t>Empresa E           4,344          300        2,345        4,244            10.18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  <w:t>Empresa F                    4,344            0        1,372        3,509             5.96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  <w:t>Empresa G                   4,344          418        2,321        7,085            10.08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</w:r>
    </w:p>
    <w:p>
      <w:pPr>
        <w:pStyle w:val="Heading2"/>
      </w:pPr>
      <w:r>
        <w:t>7. Verificação de Dados Faltantes</w:t>
      </w:r>
    </w:p>
    <w:p>
      <w:pPr>
        <w:spacing w:after="40" w:before="160"/>
      </w:pPr>
      <w:r>
        <w:rPr>
          <w:rFonts w:ascii="Consolas" w:hAnsi="Consolas"/>
          <w:b/>
          <w:color w:val="1A3C6E"/>
          <w:sz w:val="16"/>
        </w:rPr>
        <w:t>In [12]: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# Verificar dados faltantes nos dados de entrada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print('=== Dados Faltantes (NaN) ===')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print(f'\nVolumes de Entrada:')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print(df_vol_entrada.isnull().sum())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print(f'\nPCS:')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print(df_pcs.isnull().sum())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print(f'\nEnergia:')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print(df_energia.isnull().sum())</w:t>
      </w:r>
    </w:p>
    <w:p>
      <w:pPr>
        <w:spacing w:after="40" w:before="80"/>
      </w:pPr>
      <w:r>
        <w:rPr>
          <w:rFonts w:ascii="Consolas" w:hAnsi="Consolas"/>
          <w:b/>
          <w:color w:val="2D5016"/>
          <w:sz w:val="16"/>
        </w:rPr>
        <w:t>Out: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  <w:t>=== Dados Faltantes (NaN) ===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  <w:t>Volumes de Entrada: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  <w:t>Unnamed: 1              0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  <w:t>Concessionária Nm3/d    0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  <w:t>Transportadora Nm3/d    0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  <w:t>Dif Abs                 0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  <w:t>Dif %                   0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  <w:t>dtype: int64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  <w:t>PCS: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  <w:t>Unnamed: 1                0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  <w:t>Concessionária kcal/m3    0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  <w:t>Trnsportadora kcal/m3     0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  <w:t>Dif Abs                   0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  <w:t>Dif %                     0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  <w:t>dtype: int64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  <w:t>Energia: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  <w:t>Vol Concessionária m3          0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  <w:t>PC Concessionária kcal/m3      1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  <w:t>Energia Concessionária kcal    1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  <w:t>Vol Transportadora m3          1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  <w:t>PC Transportadora Kcal/m3      1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  <w:t>Energia Transportadora kcal    0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  <w:t>Dif Abs                        0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  <w:t>Dif %                          0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  <w:t>dtype: int64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</w:r>
    </w:p>
    <w:p>
      <w:pPr>
        <w:spacing w:after="40" w:before="160"/>
      </w:pPr>
      <w:r>
        <w:rPr>
          <w:rFonts w:ascii="Consolas" w:hAnsi="Consolas"/>
          <w:b/>
          <w:color w:val="1A3C6E"/>
          <w:sz w:val="16"/>
        </w:rPr>
        <w:t>In [13]: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# Verificar dados faltantes nos clientes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print('=== Dados Faltantes por Cliente ===')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for aba, info in clientes.items():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df = info['dados']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faltantes = df.isnull().sum()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total = faltantes.sum()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if total &gt; 0: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    print(f'\n{info["nome"]} ({aba}):')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    print(faltantes[faltantes &gt; 0])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else: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    print(f'{info["nome"]} ({aba}): Sem dados faltantes')</w:t>
      </w:r>
    </w:p>
    <w:p>
      <w:pPr>
        <w:spacing w:after="40" w:before="80"/>
      </w:pPr>
      <w:r>
        <w:rPr>
          <w:rFonts w:ascii="Consolas" w:hAnsi="Consolas"/>
          <w:b/>
          <w:color w:val="2D5016"/>
          <w:sz w:val="16"/>
        </w:rPr>
        <w:t>Out: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  <w:t>=== Dados Faltantes por Cliente ===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  <w:t>Empresa A (Cliente #1): Sem dados faltantes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  <w:t>Empresa B (Cliente #2): Sem dados faltantes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  <w:t>Empresa C (Cliente #3): Sem dados faltantes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  <w:t>Empresa D (Cliente #4):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  <w:t>Volume_Nm3h      2483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  <w:t>Pressao_bara     2483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  <w:t>Temperatura_C    2483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  <w:t>dtype: int64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  <w:t>Empresa E (Cliente #5): Sem dados faltantes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  <w:t>Empresa F (Cliente #6): Sem dados faltantes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  <w:t>Empresa G (Cliente #7): Sem dados faltantes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</w:r>
    </w:p>
    <w:p>
      <w:pPr>
        <w:pStyle w:val="Heading2"/>
      </w:pPr>
      <w:r>
        <w:t>8. Abas de Análise</w:t>
      </w:r>
    </w:p>
    <w:p>
      <w:r>
        <w:t xml:space="preserve">As abas de análise contêm cálculos derivados: sumário das medições, incertezas, balanço de massa. Diferente das abas de dados brutos, estas têm </w:t>
      </w:r>
      <w:r>
        <w:rPr>
          <w:b/>
        </w:rPr>
        <w:t>layout com margens</w:t>
      </w:r>
      <w:r>
        <w:t xml:space="preserve"> (linhas e colunas vazias no início) e </w:t>
      </w:r>
      <w:r>
        <w:rPr>
          <w:b/>
        </w:rPr>
        <w:t>estrutura hierárquica</w:t>
      </w:r>
      <w:r>
        <w:t xml:space="preserve"> (células mescladas). É necessário especificar `skiprows` e `usecols` para extrair apenas a área de dados útil.</w:t>
      </w:r>
    </w:p>
    <w:tbl>
      <w:tblPr>
        <w:tblStyle w:val="TableGrid"/>
        <w:tblW w:type="auto" w:w="0"/>
        <w:jc w:val="center"/>
        <w:tblLook w:firstColumn="1" w:firstRow="1" w:lastColumn="0" w:lastRow="0" w:noHBand="0" w:noVBand="1" w:val="04A0"/>
      </w:tblPr>
      <w:tblGrid>
        <w:gridCol w:w="3041"/>
        <w:gridCol w:w="3041"/>
        <w:gridCol w:w="3041"/>
      </w:tblGrid>
      <w:tr>
        <w:tc>
          <w:tcPr>
            <w:tcW w:type="dxa" w:w="3041"/>
            <w:shd w:fill="1A237E"/>
          </w:tcPr>
          <w:p>
            <w:pPr>
              <w:jc w:val="center"/>
            </w:pPr>
            <w:r>
              <w:rPr>
                <w:b/>
                <w:color w:val="FFFFFF"/>
                <w:sz w:val="18"/>
              </w:rPr>
              <w:t>Aba</w:t>
            </w:r>
          </w:p>
        </w:tc>
        <w:tc>
          <w:tcPr>
            <w:tcW w:type="dxa" w:w="3041"/>
            <w:shd w:fill="1A237E"/>
          </w:tcPr>
          <w:p>
            <w:pPr>
              <w:jc w:val="center"/>
            </w:pPr>
            <w:r>
              <w:rPr>
                <w:b/>
                <w:color w:val="FFFFFF"/>
                <w:sz w:val="18"/>
              </w:rPr>
              <w:t>Área de dados</w:t>
            </w:r>
          </w:p>
        </w:tc>
        <w:tc>
          <w:tcPr>
            <w:tcW w:type="dxa" w:w="3041"/>
            <w:shd w:fill="1A237E"/>
          </w:tcPr>
          <w:p>
            <w:pPr>
              <w:jc w:val="center"/>
            </w:pPr>
            <w:r>
              <w:rPr>
                <w:b/>
                <w:color w:val="FFFFFF"/>
                <w:sz w:val="18"/>
              </w:rPr>
              <w:t>Descrição</w:t>
            </w:r>
          </w:p>
        </w:tc>
      </w:tr>
      <w:tr>
        <w:tc>
          <w:tcPr>
            <w:tcW w:type="dxa" w:w="3041"/>
            <w:shd w:fill="F5F5F5"/>
          </w:tcPr>
          <w:p>
            <w:r>
              <w:rPr>
                <w:sz w:val="18"/>
              </w:rPr>
              <w:t>Sumário das Medições</w:t>
            </w:r>
          </w:p>
        </w:tc>
        <w:tc>
          <w:tcPr>
            <w:tcW w:type="dxa" w:w="3041"/>
            <w:shd w:fill="F5F5F5"/>
          </w:tcPr>
          <w:p>
            <w:r>
              <w:rPr>
                <w:sz w:val="18"/>
              </w:rPr>
              <w:t>Linhas 6-15, Colunas D:K</w:t>
            </w:r>
          </w:p>
        </w:tc>
        <w:tc>
          <w:tcPr>
            <w:tcW w:type="dxa" w:w="3041"/>
            <w:shd w:fill="F5F5F5"/>
          </w:tcPr>
          <w:p>
            <w:r>
              <w:rPr>
                <w:sz w:val="18"/>
              </w:rPr>
              <w:t>Condições operacionais por ponto</w:t>
            </w:r>
          </w:p>
        </w:tc>
      </w:tr>
      <w:tr>
        <w:tc>
          <w:tcPr>
            <w:tcW w:type="dxa" w:w="3041"/>
          </w:tcPr>
          <w:p>
            <w:r>
              <w:rPr>
                <w:sz w:val="18"/>
              </w:rPr>
              <w:t>Incertezas</w:t>
            </w:r>
          </w:p>
        </w:tc>
        <w:tc>
          <w:tcPr>
            <w:tcW w:type="dxa" w:w="3041"/>
          </w:tcPr>
          <w:p>
            <w:r>
              <w:rPr>
                <w:sz w:val="18"/>
              </w:rPr>
              <w:t>Linhas 5+, Colunas E:I</w:t>
            </w:r>
          </w:p>
        </w:tc>
        <w:tc>
          <w:tcPr>
            <w:tcW w:type="dxa" w:w="3041"/>
          </w:tcPr>
          <w:p>
            <w:r>
              <w:rPr>
                <w:sz w:val="18"/>
              </w:rPr>
              <w:t>Incertezas de medição por tramo/cliente</w:t>
            </w:r>
          </w:p>
        </w:tc>
      </w:tr>
      <w:tr>
        <w:tc>
          <w:tcPr>
            <w:tcW w:type="dxa" w:w="3041"/>
            <w:shd w:fill="F5F5F5"/>
          </w:tcPr>
          <w:p>
            <w:r>
              <w:rPr>
                <w:sz w:val="18"/>
              </w:rPr>
              <w:t>Balanço (Tab.1)</w:t>
            </w:r>
          </w:p>
        </w:tc>
        <w:tc>
          <w:tcPr>
            <w:tcW w:type="dxa" w:w="3041"/>
            <w:shd w:fill="F5F5F5"/>
          </w:tcPr>
          <w:p>
            <w:r>
              <w:rPr>
                <w:sz w:val="18"/>
              </w:rPr>
              <w:t>Linhas 5-19, Colunas E:I</w:t>
            </w:r>
          </w:p>
        </w:tc>
        <w:tc>
          <w:tcPr>
            <w:tcW w:type="dxa" w:w="3041"/>
            <w:shd w:fill="F5F5F5"/>
          </w:tcPr>
          <w:p>
            <w:r>
              <w:rPr>
                <w:sz w:val="18"/>
              </w:rPr>
              <w:t>Incertezas (cópia)</w:t>
            </w:r>
          </w:p>
        </w:tc>
      </w:tr>
      <w:tr>
        <w:tc>
          <w:tcPr>
            <w:tcW w:type="dxa" w:w="3041"/>
          </w:tcPr>
          <w:p>
            <w:r>
              <w:rPr>
                <w:sz w:val="18"/>
              </w:rPr>
              <w:t>Balanço (Tab.2)</w:t>
            </w:r>
          </w:p>
        </w:tc>
        <w:tc>
          <w:tcPr>
            <w:tcW w:type="dxa" w:w="3041"/>
          </w:tcPr>
          <w:p>
            <w:r>
              <w:rPr>
                <w:sz w:val="18"/>
              </w:rPr>
              <w:t>Linhas 23-24, Colunas L:P</w:t>
            </w:r>
          </w:p>
        </w:tc>
        <w:tc>
          <w:tcPr>
            <w:tcW w:type="dxa" w:w="3041"/>
          </w:tcPr>
          <w:p>
            <w:r>
              <w:rPr>
                <w:sz w:val="18"/>
              </w:rPr>
              <w:t>Banda de variação (entrada vs saída)</w:t>
            </w:r>
          </w:p>
        </w:tc>
      </w:tr>
      <w:tr>
        <w:tc>
          <w:tcPr>
            <w:tcW w:type="dxa" w:w="3041"/>
            <w:shd w:fill="F5F5F5"/>
          </w:tcPr>
          <w:p>
            <w:r>
              <w:rPr>
                <w:sz w:val="18"/>
              </w:rPr>
              <w:t>Planilha1</w:t>
            </w:r>
          </w:p>
        </w:tc>
        <w:tc>
          <w:tcPr>
            <w:tcW w:type="dxa" w:w="3041"/>
            <w:shd w:fill="F5F5F5"/>
          </w:tcPr>
          <w:p>
            <w:r>
              <w:rPr>
                <w:sz w:val="18"/>
              </w:rPr>
              <w:t>Linhas 3+, Colunas C:H</w:t>
            </w:r>
          </w:p>
        </w:tc>
        <w:tc>
          <w:tcPr>
            <w:tcW w:type="dxa" w:w="3041"/>
            <w:shd w:fill="F5F5F5"/>
          </w:tcPr>
          <w:p>
            <w:r>
              <w:rPr>
                <w:sz w:val="18"/>
              </w:rPr>
              <w:t>Consolidação final com bandas</w:t>
            </w:r>
          </w:p>
        </w:tc>
      </w:tr>
    </w:tbl>
    <w:p/>
    <w:p>
      <w:pPr>
        <w:spacing w:after="40" w:before="160"/>
      </w:pPr>
      <w:r>
        <w:rPr>
          <w:rFonts w:ascii="Consolas" w:hAnsi="Consolas"/>
          <w:b/>
          <w:color w:val="1A3C6E"/>
          <w:sz w:val="16"/>
        </w:rPr>
        <w:t>In [ ]: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# =====================================================================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# Aba: "Sumario das Medições" — Condições Operacionais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# Área de dados: linhas 6-15, colunas D:K (8 colunas)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# Estrutura hierárquica: col D = categoria (Ponto de Entrada/Saída),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#                        col E = medidor/cliente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# =====================================================================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print('=' * 70)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print('Aba: "Sumario das Medições" — Condições Operacionais')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print('  Parâmetros: skiprows=6, nrows=10, usecols="D:K", header=None')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print('=' * 70)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df_sumario = pd.read_excel(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EXCEL_PATH, sheet_name='Sumario das Medições',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header=None, skiprows=6, nrows=10, usecols='D:K'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df_sumario.columns = [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'Categoria', 'Ponto/Medidor', 'Vol Mín (Nm³/h)', 'Vol Normal (Nm³/h)',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'Vol Máx (Nm³/h)', 'Pressão Máx (bar.a)', 'Pressão Normal (bar.a)',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'Temp Máx (°C)'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]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df_sumario['Categoria'] = df_sumario['Categoria'].ffill()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df_sumario = df_sumario.dropna(subset=['Ponto/Medidor'])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for col in df_sumario.columns[2:]: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df_sumario[col] = pd.to_numeric(df_sumario[col], errors='coerce')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print(f'Formato: {df_sumario.shape}\n')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print(df_sumario.to_string(index=False))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# =====================================================================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# Aba: "Incertezas " — Incertezas por Ponto de Medição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# Área de dados: linhas 5+, colunas E:I (5 colunas)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# Mostra todos os 5 tramos de entrada + 7 clientes + totais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# =====================================================================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print('\n' + '=' * 70)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print('Aba: "Incertezas " — Incertezas por Ponto de Medição')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print('  Parâmetros: skiprows=5, usecols="E:I", header=None')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print('=' * 70)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df_incertezas = pd.read_excel(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EXCEL_PATH, sheet_name='Incertezas ',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header=None, skiprows=5, usecols='E:I'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df_incertezas.columns = [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'Categoria', 'Ponto/Medidor', 'Inc. Vazão Mín (%)',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'Inc. Vazão Normal (%)', 'Inc. Vazão Máx (%)'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]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df_incertezas['Categoria'] = df_incertezas['Categoria'].ffill()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df_incertezas = df_incertezas.dropna(subset=['Ponto/Medidor'])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for col in df_incertezas.columns[2:]: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df_incertezas[col] = pd.to_numeric(df_incertezas[col], errors='coerce')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print(f'Formato: {df_incertezas.shape}\n')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print(df_incertezas.to_string(index=False))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# =====================================================================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# Aba: "Balanço" — Tabela 1: Incertezas (mesma estrutura da aba Incertezas)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# Área de dados: linhas 5-19, colunas E:I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# =====================================================================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print('\n' + '=' * 70)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print('Aba: "Balanço" — Tabela 1: Incertezas por Ponto')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print('  Parâmetros: skiprows=5, nrows=15, usecols="E:I", header=None')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print('=' * 70)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df_bal_inc = pd.read_excel(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EXCEL_PATH, sheet_name='Balanço',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header=None, skiprows=5, nrows=15, usecols='E:I'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df_bal_inc.columns = [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'Categoria', 'Ponto/Medidor', 'Inc. Vazão Mín (%)',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'Inc. Vazão Normal (%)', 'Inc. Vazão Máx (%)'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]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df_bal_inc['Categoria'] = df_bal_inc['Categoria'].ffill()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df_bal_inc = df_bal_inc.dropna(subset=['Ponto/Medidor'])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for col in df_bal_inc.columns[2:]: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df_bal_inc[col] = pd.to_numeric(df_bal_inc[col], errors='coerce')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print(f'Formato: {df_bal_inc.shape}\n')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print(df_bal_inc.to_string(index=False))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# =====================================================================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# Aba: "Balanço" — Tabela 2: Banda de Variação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# Área de dados: linhas 23-24, colunas L:P (segunda tabela na mesma aba)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# Contém: volumes transferidos com bandas de incerteza para entrada e saída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# =====================================================================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print('\n' + '=' * 70)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print('Aba: "Balanço" — Tabela 2: Banda de Variação')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print('  Parâmetros: skiprows=23, nrows=3, usecols="L:P", header=None')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print('=' * 70)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df_bal_banda = pd.read_excel(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EXCEL_PATH, sheet_name='Balanço',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header=None, skiprows=23, nrows=3, usecols='L:P'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df_bal_banda.columns = [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'Ponto', 'Vol Transferido (Nm³)', 'Inc. Normal (%)',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'Valor Mín (Nm³)', 'Valor Máx (Nm³)'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]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df_bal_banda = df_bal_banda.dropna(subset=['Ponto'])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for col in df_bal_banda.columns[1:]: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df_bal_banda[col] = pd.to_numeric(df_bal_banda[col], errors='coerce')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print(f'Formato: {df_bal_banda.shape}\n')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print(df_bal_banda.to_string(index=False))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# =====================================================================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# Aba: "Planilha1" — Tabela Consolidada com Bandas de Incerteza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# Área de dados: linhas 3+, colunas C:H (6 colunas)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# Consolida volumes, incertezas e bandas min/max para todos os pontos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# =====================================================================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print('\n' + '=' * 70)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print('Aba: "Planilha1" — Tabela Consolidada com Bandas de Incerteza')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print('  Parâmetros: skiprows=3, usecols="C:H", header=None')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print('=' * 70)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df_planilha1 = pd.read_excel(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EXCEL_PATH, sheet_name='Planilha1',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header=None, skiprows=3, usecols='C:H'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df_planilha1.columns = [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'Categoria', 'Ponto/Medidor', 'Vol Transferido (Nm³)',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'Inc. Normal (%)', 'Valor Mín (Nm³)', 'Valor Máx (Nm³)'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]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df_planilha1['Categoria'] = df_planilha1['Categoria'].ffill()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df_planilha1 = df_planilha1.dropna(subset=['Ponto/Medidor'])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for col in df_planilha1.columns[2:]: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df_planilha1[col] = pd.to_numeric(df_planilha1[col], errors='coerce')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print(f'Formato: {df_planilha1.shape}\n')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print(df_planilha1.to_string(index=False))</w:t>
      </w:r>
    </w:p>
    <w:p>
      <w:pPr>
        <w:pStyle w:val="Heading2"/>
      </w:pPr>
      <w:r>
        <w:t>9. Visualização Rápida dos Dados</w:t>
      </w:r>
    </w:p>
    <w:p>
      <w:r>
        <w:t>Uma visão geral rápida para confirmar que os dados foram carregados corretamente.</w:t>
      </w:r>
    </w:p>
    <w:p>
      <w:pPr>
        <w:spacing w:after="40" w:before="160"/>
      </w:pPr>
      <w:r>
        <w:rPr>
          <w:rFonts w:ascii="Consolas" w:hAnsi="Consolas"/>
          <w:b/>
          <w:color w:val="1A3C6E"/>
          <w:sz w:val="16"/>
        </w:rPr>
        <w:t>In [15]: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fig, axes = plt.subplots(2, 2, figsize=(16, 10))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fig.suptitle('Visão Geral dos Dados do Distrito', fontsize=16, fontweight='bold')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# 1. Volumes de entrada diários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ax = axes[0, 0]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col_conc = df_vol_entrada.columns[1]  # Concessionária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col_transp = df_vol_entrada.columns[2]  # Transportadora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ax.plot(df_vol_entrada[df_vol_entrada.columns[0]], 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    df_vol_entrada[col_conc] / 1000, 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    label='Concessionária', alpha=0.8)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ax.plot(df_vol_entrada[df_vol_entrada.columns[0]], 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    df_vol_entrada[col_transp] / 1000, 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    label='Transportadora', alpha=0.8, linestyle='--')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ax.set_title('Volume de Entrada Diário')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ax.set_ylabel('Volume (10³ Nm³/d)')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ax.legend(fontsize=9)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ax.tick_params(axis='x', rotation=45)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# 2. PCS diário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ax = axes[0, 1]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col_pcs_conc = df_pcs.columns[1]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ax.plot(df_pcs[df_pcs.columns[0]], df_pcs[col_pcs_conc], color='green', alpha=0.8)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ax.set_title('PCS de Entrada Diário')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ax.set_ylabel('PCS (kcal/m³)')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ax.tick_params(axis='x', rotation=45)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# 3. Volume do maior cliente (Cliente #1 - Empresa A)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ax = axes[1, 0]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df_yara = clientes['Cliente #1']['dados']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ax.plot(df_yara['Data'], df_yara['Volume_Nm3h'] / 1000, 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    color='orange', alpha=0.5, linewidth=0.5)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ax.set_title('Cliente #1 (Empresa A) - Volume Horário')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ax.set_ylabel('Volume (10³ Nm³/h)')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ax.tick_params(axis='x', rotation=45)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# 4. Volume total por cliente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ax = axes[1, 1]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nomes = [info['nome'] for info in clientes.values()]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volumes = [info['dados']['Volume_Nm3h'].sum() / 1e6 for info in clientes.values()]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cores = plt.cm.Set2(np.linspace(0, 1, len(nomes)))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bars = ax.barh(nomes, volumes, color=cores)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ax.set_title('Volume Total por Cliente')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ax.set_xlabel('Volume (Mm³)')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for bar, vol in zip(bars, volumes):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ax.text(bar.get_width() + 0.5, bar.get_y() + bar.get_height()/2, 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        f'{vol:.1f}', va='center', fontsize=9)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plt.tight_layout()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plt.show()</w:t>
      </w:r>
    </w:p>
    <w:p>
      <w:pPr>
        <w:spacing w:before="120" w:after="120"/>
        <w:jc w:val="center"/>
      </w:pPr>
      <w:r>
        <w:drawing>
          <wp:inline xmlns:a="http://schemas.openxmlformats.org/drawingml/2006/main" xmlns:pic="http://schemas.openxmlformats.org/drawingml/2006/picture">
            <wp:extent cx="4572000" cy="2839787"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3978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10. Resumo da Exploração</w:t>
      </w:r>
    </w:p>
    <w:p>
      <w:pPr>
        <w:pStyle w:val="Heading3"/>
      </w:pPr>
      <w:r>
        <w:t>Dados disponíveis:</w:t>
      </w:r>
    </w:p>
    <w:tbl>
      <w:tblPr>
        <w:tblStyle w:val="TableGrid"/>
        <w:tblW w:type="auto" w:w="0"/>
        <w:jc w:val="center"/>
        <w:tblLook w:firstColumn="1" w:firstRow="1" w:lastColumn="0" w:lastRow="0" w:noHBand="0" w:noVBand="1" w:val="04A0"/>
      </w:tblPr>
      <w:tblGrid>
        <w:gridCol w:w="1824"/>
        <w:gridCol w:w="1824"/>
        <w:gridCol w:w="1824"/>
        <w:gridCol w:w="1824"/>
        <w:gridCol w:w="1824"/>
      </w:tblGrid>
      <w:tr>
        <w:tc>
          <w:tcPr>
            <w:tcW w:type="dxa" w:w="1824"/>
            <w:shd w:fill="1A237E"/>
          </w:tcPr>
          <w:p>
            <w:pPr>
              <w:jc w:val="center"/>
            </w:pPr>
            <w:r>
              <w:rPr>
                <w:b/>
                <w:color w:val="FFFFFF"/>
                <w:sz w:val="18"/>
              </w:rPr>
              <w:t>Aba</w:t>
            </w:r>
          </w:p>
        </w:tc>
        <w:tc>
          <w:tcPr>
            <w:tcW w:type="dxa" w:w="1824"/>
            <w:shd w:fill="1A237E"/>
          </w:tcPr>
          <w:p>
            <w:pPr>
              <w:jc w:val="center"/>
            </w:pPr>
            <w:r>
              <w:rPr>
                <w:b/>
                <w:color w:val="FFFFFF"/>
                <w:sz w:val="18"/>
              </w:rPr>
              <w:t>Tipo</w:t>
            </w:r>
          </w:p>
        </w:tc>
        <w:tc>
          <w:tcPr>
            <w:tcW w:type="dxa" w:w="1824"/>
            <w:shd w:fill="1A237E"/>
          </w:tcPr>
          <w:p>
            <w:pPr>
              <w:jc w:val="center"/>
            </w:pPr>
            <w:r>
              <w:rPr>
                <w:b/>
                <w:color w:val="FFFFFF"/>
                <w:sz w:val="18"/>
              </w:rPr>
              <w:t>Registros</w:t>
            </w:r>
          </w:p>
        </w:tc>
        <w:tc>
          <w:tcPr>
            <w:tcW w:type="dxa" w:w="1824"/>
            <w:shd w:fill="1A237E"/>
          </w:tcPr>
          <w:p>
            <w:pPr>
              <w:jc w:val="center"/>
            </w:pPr>
            <w:r>
              <w:rPr>
                <w:b/>
                <w:color w:val="FFFFFF"/>
                <w:sz w:val="18"/>
              </w:rPr>
              <w:t>Granularidade</w:t>
            </w:r>
          </w:p>
        </w:tc>
        <w:tc>
          <w:tcPr>
            <w:tcW w:type="dxa" w:w="1824"/>
            <w:shd w:fill="1A237E"/>
          </w:tcPr>
          <w:p>
            <w:pPr>
              <w:jc w:val="center"/>
            </w:pPr>
            <w:r>
              <w:rPr>
                <w:b/>
                <w:color w:val="FFFFFF"/>
                <w:sz w:val="18"/>
              </w:rPr>
              <w:t>Colunas-chave</w:t>
            </w:r>
          </w:p>
        </w:tc>
      </w:tr>
      <w:tr>
        <w:tc>
          <w:tcPr>
            <w:tcW w:type="dxa" w:w="1824"/>
            <w:shd w:fill="F5F5F5"/>
          </w:tcPr>
          <w:p>
            <w:r>
              <w:rPr>
                <w:sz w:val="18"/>
              </w:rPr>
              <w:t>Vol Entrada Gas</w:t>
            </w:r>
          </w:p>
        </w:tc>
        <w:tc>
          <w:tcPr>
            <w:tcW w:type="dxa" w:w="1824"/>
            <w:shd w:fill="F5F5F5"/>
          </w:tcPr>
          <w:p>
            <w:r>
              <w:rPr>
                <w:sz w:val="18"/>
              </w:rPr>
              <w:t>Dados diários</w:t>
            </w:r>
          </w:p>
        </w:tc>
        <w:tc>
          <w:tcPr>
            <w:tcW w:type="dxa" w:w="1824"/>
            <w:shd w:fill="F5F5F5"/>
          </w:tcPr>
          <w:p>
            <w:r>
              <w:rPr>
                <w:sz w:val="18"/>
              </w:rPr>
              <w:t>183</w:t>
            </w:r>
          </w:p>
        </w:tc>
        <w:tc>
          <w:tcPr>
            <w:tcW w:type="dxa" w:w="1824"/>
            <w:shd w:fill="F5F5F5"/>
          </w:tcPr>
          <w:p>
            <w:r>
              <w:rPr>
                <w:sz w:val="18"/>
              </w:rPr>
              <w:t>Diária</w:t>
            </w:r>
          </w:p>
        </w:tc>
        <w:tc>
          <w:tcPr>
            <w:tcW w:type="dxa" w:w="1824"/>
            <w:shd w:fill="F5F5F5"/>
          </w:tcPr>
          <w:p>
            <w:r>
              <w:rPr>
                <w:sz w:val="18"/>
              </w:rPr>
              <w:t>Volume Concessionária/Transportadora (Nm³/d)</w:t>
            </w:r>
          </w:p>
        </w:tc>
      </w:tr>
      <w:tr>
        <w:tc>
          <w:tcPr>
            <w:tcW w:type="dxa" w:w="1824"/>
          </w:tcPr>
          <w:p>
            <w:r>
              <w:rPr>
                <w:sz w:val="18"/>
              </w:rPr>
              <w:t>PCS Ent</w:t>
            </w:r>
          </w:p>
        </w:tc>
        <w:tc>
          <w:tcPr>
            <w:tcW w:type="dxa" w:w="1824"/>
          </w:tcPr>
          <w:p>
            <w:r>
              <w:rPr>
                <w:sz w:val="18"/>
              </w:rPr>
              <w:t>Dados diários</w:t>
            </w:r>
          </w:p>
        </w:tc>
        <w:tc>
          <w:tcPr>
            <w:tcW w:type="dxa" w:w="1824"/>
          </w:tcPr>
          <w:p>
            <w:r>
              <w:rPr>
                <w:sz w:val="18"/>
              </w:rPr>
              <w:t>183</w:t>
            </w:r>
          </w:p>
        </w:tc>
        <w:tc>
          <w:tcPr>
            <w:tcW w:type="dxa" w:w="1824"/>
          </w:tcPr>
          <w:p>
            <w:r>
              <w:rPr>
                <w:sz w:val="18"/>
              </w:rPr>
              <w:t>Diária</w:t>
            </w:r>
          </w:p>
        </w:tc>
        <w:tc>
          <w:tcPr>
            <w:tcW w:type="dxa" w:w="1824"/>
          </w:tcPr>
          <w:p>
            <w:r>
              <w:rPr>
                <w:sz w:val="18"/>
              </w:rPr>
              <w:t>PCS Concessionária/Transportadora (kcal/m³)</w:t>
            </w:r>
          </w:p>
        </w:tc>
      </w:tr>
      <w:tr>
        <w:tc>
          <w:tcPr>
            <w:tcW w:type="dxa" w:w="1824"/>
            <w:shd w:fill="F5F5F5"/>
          </w:tcPr>
          <w:p>
            <w:r>
              <w:rPr>
                <w:sz w:val="18"/>
              </w:rPr>
              <w:t>Energia Ent</w:t>
            </w:r>
          </w:p>
        </w:tc>
        <w:tc>
          <w:tcPr>
            <w:tcW w:type="dxa" w:w="1824"/>
            <w:shd w:fill="F5F5F5"/>
          </w:tcPr>
          <w:p>
            <w:r>
              <w:rPr>
                <w:sz w:val="18"/>
              </w:rPr>
              <w:t>Dados diários</w:t>
            </w:r>
          </w:p>
        </w:tc>
        <w:tc>
          <w:tcPr>
            <w:tcW w:type="dxa" w:w="1824"/>
            <w:shd w:fill="F5F5F5"/>
          </w:tcPr>
          <w:p>
            <w:r>
              <w:rPr>
                <w:sz w:val="18"/>
              </w:rPr>
              <w:t>183</w:t>
            </w:r>
          </w:p>
        </w:tc>
        <w:tc>
          <w:tcPr>
            <w:tcW w:type="dxa" w:w="1824"/>
            <w:shd w:fill="F5F5F5"/>
          </w:tcPr>
          <w:p>
            <w:r>
              <w:rPr>
                <w:sz w:val="18"/>
              </w:rPr>
              <w:t>Diária</w:t>
            </w:r>
          </w:p>
        </w:tc>
        <w:tc>
          <w:tcPr>
            <w:tcW w:type="dxa" w:w="1824"/>
            <w:shd w:fill="F5F5F5"/>
          </w:tcPr>
          <w:p>
            <w:r>
              <w:rPr>
                <w:sz w:val="18"/>
              </w:rPr>
              <w:t>Energia = Vol × PCS (kcal)</w:t>
            </w:r>
          </w:p>
        </w:tc>
      </w:tr>
      <w:tr>
        <w:tc>
          <w:tcPr>
            <w:tcW w:type="dxa" w:w="1824"/>
          </w:tcPr>
          <w:p>
            <w:r>
              <w:rPr>
                <w:sz w:val="18"/>
              </w:rPr>
              <w:t>Cliente #1-7</w:t>
            </w:r>
          </w:p>
        </w:tc>
        <w:tc>
          <w:tcPr>
            <w:tcW w:type="dxa" w:w="1824"/>
          </w:tcPr>
          <w:p>
            <w:r>
              <w:rPr>
                <w:sz w:val="18"/>
              </w:rPr>
              <w:t>Dados horários</w:t>
            </w:r>
          </w:p>
        </w:tc>
        <w:tc>
          <w:tcPr>
            <w:tcW w:type="dxa" w:w="1824"/>
          </w:tcPr>
          <w:p>
            <w:r>
              <w:rPr>
                <w:sz w:val="18"/>
              </w:rPr>
              <w:t>~4.344 cada</w:t>
            </w:r>
          </w:p>
        </w:tc>
        <w:tc>
          <w:tcPr>
            <w:tcW w:type="dxa" w:w="1824"/>
          </w:tcPr>
          <w:p>
            <w:r>
              <w:rPr>
                <w:sz w:val="18"/>
              </w:rPr>
              <w:t>Horária</w:t>
            </w:r>
          </w:p>
        </w:tc>
        <w:tc>
          <w:tcPr>
            <w:tcW w:type="dxa" w:w="1824"/>
          </w:tcPr>
          <w:p>
            <w:r>
              <w:rPr>
                <w:sz w:val="18"/>
              </w:rPr>
              <w:t>Volume (Nm³/h), Pressão (bara), Temp (°C)</w:t>
            </w:r>
          </w:p>
        </w:tc>
      </w:tr>
      <w:tr>
        <w:tc>
          <w:tcPr>
            <w:tcW w:type="dxa" w:w="1824"/>
            <w:shd w:fill="F5F5F5"/>
          </w:tcPr>
          <w:p>
            <w:r>
              <w:rPr>
                <w:sz w:val="18"/>
              </w:rPr>
              <w:t>Sumário</w:t>
            </w:r>
          </w:p>
        </w:tc>
        <w:tc>
          <w:tcPr>
            <w:tcW w:type="dxa" w:w="1824"/>
            <w:shd w:fill="F5F5F5"/>
          </w:tcPr>
          <w:p>
            <w:r>
              <w:rPr>
                <w:sz w:val="18"/>
              </w:rPr>
              <w:t>Análise</w:t>
            </w:r>
          </w:p>
        </w:tc>
        <w:tc>
          <w:tcPr>
            <w:tcW w:type="dxa" w:w="1824"/>
            <w:shd w:fill="F5F5F5"/>
          </w:tcPr>
          <w:p>
            <w:r>
              <w:rPr>
                <w:sz w:val="18"/>
              </w:rPr>
              <w:t>-</w:t>
            </w:r>
          </w:p>
        </w:tc>
        <w:tc>
          <w:tcPr>
            <w:tcW w:type="dxa" w:w="1824"/>
            <w:shd w:fill="F5F5F5"/>
          </w:tcPr>
          <w:p>
            <w:r>
              <w:rPr>
                <w:sz w:val="18"/>
              </w:rPr>
              <w:t>-</w:t>
            </w:r>
          </w:p>
        </w:tc>
        <w:tc>
          <w:tcPr>
            <w:tcW w:type="dxa" w:w="1824"/>
            <w:shd w:fill="F5F5F5"/>
          </w:tcPr>
          <w:p>
            <w:r>
              <w:rPr>
                <w:sz w:val="18"/>
              </w:rPr>
              <w:t>Condições operacionais por ponto</w:t>
            </w:r>
          </w:p>
        </w:tc>
      </w:tr>
      <w:tr>
        <w:tc>
          <w:tcPr>
            <w:tcW w:type="dxa" w:w="1824"/>
          </w:tcPr>
          <w:p>
            <w:r>
              <w:rPr>
                <w:sz w:val="18"/>
              </w:rPr>
              <w:t>Incertezas</w:t>
            </w:r>
          </w:p>
        </w:tc>
        <w:tc>
          <w:tcPr>
            <w:tcW w:type="dxa" w:w="1824"/>
          </w:tcPr>
          <w:p>
            <w:r>
              <w:rPr>
                <w:sz w:val="18"/>
              </w:rPr>
              <w:t>Análise</w:t>
            </w:r>
          </w:p>
        </w:tc>
        <w:tc>
          <w:tcPr>
            <w:tcW w:type="dxa" w:w="1824"/>
          </w:tcPr>
          <w:p>
            <w:r>
              <w:rPr>
                <w:sz w:val="18"/>
              </w:rPr>
              <w:t>-</w:t>
            </w:r>
          </w:p>
        </w:tc>
        <w:tc>
          <w:tcPr>
            <w:tcW w:type="dxa" w:w="1824"/>
          </w:tcPr>
          <w:p>
            <w:r>
              <w:rPr>
                <w:sz w:val="18"/>
              </w:rPr>
              <w:t>-</w:t>
            </w:r>
          </w:p>
        </w:tc>
        <w:tc>
          <w:tcPr>
            <w:tcW w:type="dxa" w:w="1824"/>
          </w:tcPr>
          <w:p>
            <w:r>
              <w:rPr>
                <w:sz w:val="18"/>
              </w:rPr>
              <w:t>Incertezas por ponto de medição</w:t>
            </w:r>
          </w:p>
        </w:tc>
      </w:tr>
      <w:tr>
        <w:tc>
          <w:tcPr>
            <w:tcW w:type="dxa" w:w="1824"/>
            <w:shd w:fill="F5F5F5"/>
          </w:tcPr>
          <w:p>
            <w:r>
              <w:rPr>
                <w:sz w:val="18"/>
              </w:rPr>
              <w:t>Balanço</w:t>
            </w:r>
          </w:p>
        </w:tc>
        <w:tc>
          <w:tcPr>
            <w:tcW w:type="dxa" w:w="1824"/>
            <w:shd w:fill="F5F5F5"/>
          </w:tcPr>
          <w:p>
            <w:r>
              <w:rPr>
                <w:sz w:val="18"/>
              </w:rPr>
              <w:t>Análise</w:t>
            </w:r>
          </w:p>
        </w:tc>
        <w:tc>
          <w:tcPr>
            <w:tcW w:type="dxa" w:w="1824"/>
            <w:shd w:fill="F5F5F5"/>
          </w:tcPr>
          <w:p>
            <w:r>
              <w:rPr>
                <w:sz w:val="18"/>
              </w:rPr>
              <w:t>-</w:t>
            </w:r>
          </w:p>
        </w:tc>
        <w:tc>
          <w:tcPr>
            <w:tcW w:type="dxa" w:w="1824"/>
            <w:shd w:fill="F5F5F5"/>
          </w:tcPr>
          <w:p>
            <w:r>
              <w:rPr>
                <w:sz w:val="18"/>
              </w:rPr>
              <w:t>-</w:t>
            </w:r>
          </w:p>
        </w:tc>
        <w:tc>
          <w:tcPr>
            <w:tcW w:type="dxa" w:w="1824"/>
            <w:shd w:fill="F5F5F5"/>
          </w:tcPr>
          <w:p>
            <w:r>
              <w:rPr>
                <w:sz w:val="18"/>
              </w:rPr>
              <w:t>Balanço entrada/saída com bandas</w:t>
            </w:r>
          </w:p>
        </w:tc>
      </w:tr>
      <w:tr>
        <w:tc>
          <w:tcPr>
            <w:tcW w:type="dxa" w:w="1824"/>
          </w:tcPr>
          <w:p>
            <w:r>
              <w:rPr>
                <w:sz w:val="18"/>
              </w:rPr>
              <w:t>Planilha1</w:t>
            </w:r>
          </w:p>
        </w:tc>
        <w:tc>
          <w:tcPr>
            <w:tcW w:type="dxa" w:w="1824"/>
          </w:tcPr>
          <w:p>
            <w:r>
              <w:rPr>
                <w:sz w:val="18"/>
              </w:rPr>
              <w:t>Consolidação</w:t>
            </w:r>
          </w:p>
        </w:tc>
        <w:tc>
          <w:tcPr>
            <w:tcW w:type="dxa" w:w="1824"/>
          </w:tcPr>
          <w:p>
            <w:r>
              <w:rPr>
                <w:sz w:val="18"/>
              </w:rPr>
              <w:t>-</w:t>
            </w:r>
          </w:p>
        </w:tc>
        <w:tc>
          <w:tcPr>
            <w:tcW w:type="dxa" w:w="1824"/>
          </w:tcPr>
          <w:p>
            <w:r>
              <w:rPr>
                <w:sz w:val="18"/>
              </w:rPr>
              <w:t>-</w:t>
            </w:r>
          </w:p>
        </w:tc>
        <w:tc>
          <w:tcPr>
            <w:tcW w:type="dxa" w:w="1824"/>
          </w:tcPr>
          <w:p>
            <w:r>
              <w:rPr>
                <w:sz w:val="18"/>
              </w:rPr>
              <w:t>Tabela final consolidada</w:t>
            </w:r>
          </w:p>
        </w:tc>
      </w:tr>
    </w:tbl>
    <w:p/>
    <w:p>
      <w:pPr>
        <w:pStyle w:val="Heading3"/>
      </w:pPr>
      <w:r>
        <w:t>Próximos passos:</w:t>
      </w:r>
    </w:p>
    <w:p>
      <w:pPr>
        <w:pStyle w:val="ListBullet"/>
      </w:pPr>
      <w:r>
        <w:rPr>
          <w:b/>
        </w:rPr>
        <w:t>Notebook 2:</w:t>
      </w:r>
      <w:r>
        <w:t xml:space="preserve"> Análise detalhada dos volumes de entrada</w:t>
      </w:r>
    </w:p>
    <w:p>
      <w:pPr>
        <w:pStyle w:val="ListBullet"/>
      </w:pPr>
      <w:r>
        <w:rPr>
          <w:b/>
        </w:rPr>
        <w:t>Notebook 3:</w:t>
      </w:r>
      <w:r>
        <w:t xml:space="preserve"> Análise do PCS</w:t>
      </w:r>
    </w:p>
    <w:p>
      <w:pPr>
        <w:pStyle w:val="ListBullet"/>
      </w:pPr>
      <w:r>
        <w:rPr>
          <w:b/>
        </w:rPr>
        <w:t>Notebook 4:</w:t>
      </w:r>
      <w:r>
        <w:t xml:space="preserve"> Cálculo de energia</w:t>
      </w:r>
    </w:p>
    <w:p>
      <w:pPr>
        <w:pStyle w:val="ListBullet"/>
      </w:pPr>
      <w:r>
        <w:rPr>
          <w:b/>
        </w:rPr>
        <w:t>Notebook 5:</w:t>
      </w:r>
      <w:r>
        <w:t xml:space="preserve"> Perfis dos clientes</w:t>
      </w:r>
    </w:p>
    <w:p>
      <w:pPr>
        <w:pStyle w:val="ListBullet"/>
      </w:pPr>
      <w:r>
        <w:rPr>
          <w:b/>
        </w:rPr>
        <w:t>Notebook 6:</w:t>
      </w:r>
      <w:r>
        <w:t xml:space="preserve"> Sumário e incertezas</w:t>
      </w:r>
    </w:p>
    <w:p>
      <w:pPr>
        <w:pStyle w:val="ListBullet"/>
      </w:pPr>
      <w:r>
        <w:rPr>
          <w:b/>
        </w:rPr>
        <w:t>Notebook 7:</w:t>
      </w:r>
      <w:r>
        <w:t xml:space="preserve"> Balanço de massa</w:t>
      </w:r>
    </w:p>
    <w:p>
      <w:r>
        <w:br w:type="page"/>
      </w:r>
    </w:p>
    <w:p>
      <w:pPr>
        <w:pStyle w:val="Heading2"/>
      </w:pPr>
      <w:r>
        <w:t>A.2 Análise de Volumes de Entrada</w:t>
      </w:r>
    </w:p>
    <w:p>
      <w:r>
        <w:t># Notebook 2: Análise de Volumes de Entrada</w:t>
      </w:r>
    </w:p>
    <w:p>
      <w:pPr>
        <w:pStyle w:val="Heading2"/>
      </w:pPr>
      <w:r>
        <w:t>Curso ABAR - Medições Inteligentes e Gestão Integrada</w:t>
      </w:r>
    </w:p>
    <w:p>
      <w:pPr>
        <w:pStyle w:val="Heading3"/>
      </w:pPr>
      <w:r>
        <w:t>Objetivo</w:t>
      </w:r>
    </w:p>
    <w:p>
      <w:r>
        <w:t xml:space="preserve">Analisar os volumes de gás natural na entrada do distrito, comparando as medições da </w:t>
      </w:r>
      <w:r>
        <w:rPr>
          <w:b/>
        </w:rPr>
        <w:t>Concessionária</w:t>
      </w:r>
      <w:r>
        <w:t xml:space="preserve"> e da </w:t>
      </w:r>
      <w:r>
        <w:rPr>
          <w:b/>
        </w:rPr>
        <w:t>Transportadora</w:t>
      </w:r>
      <w:r>
        <w:t>.</w:t>
      </w:r>
    </w:p>
    <w:p>
      <w:pPr>
        <w:pStyle w:val="Heading3"/>
      </w:pPr>
      <w:r>
        <w:t>Conceitos-chave</w:t>
      </w:r>
    </w:p>
    <w:p>
      <w:pPr>
        <w:pStyle w:val="ListBullet"/>
      </w:pPr>
      <w:r>
        <w:rPr>
          <w:b/>
        </w:rPr>
        <w:t>Medição Fiscal:</w:t>
      </w:r>
      <w:r>
        <w:t xml:space="preserve"> Sistema que habilita comprador e vendedor a concordar com o valor do produto transacionado</w:t>
      </w:r>
    </w:p>
    <w:p>
      <w:pPr>
        <w:pStyle w:val="ListBullet"/>
      </w:pPr>
      <w:r>
        <w:rPr>
          <w:b/>
        </w:rPr>
        <w:t>Transferência de Custódia:</w:t>
      </w:r>
      <w:r>
        <w:t xml:space="preserve"> Mudança de propriedade do gás entre transportadora e distribuidora</w:t>
      </w:r>
    </w:p>
    <w:p>
      <w:pPr>
        <w:pStyle w:val="ListBullet"/>
      </w:pPr>
      <w:r>
        <w:t xml:space="preserve">A </w:t>
      </w:r>
      <w:r>
        <w:rPr>
          <w:b/>
        </w:rPr>
        <w:t>concordância</w:t>
      </w:r>
      <w:r>
        <w:t xml:space="preserve"> entre as medições de ambas as partes é essencial - divergências indicam problemas de medição</w:t>
      </w:r>
    </w:p>
    <w:p>
      <w:pPr>
        <w:pStyle w:val="ListBullet"/>
      </w:pPr>
      <w:r>
        <w:t xml:space="preserve">Volume medido em </w:t>
      </w:r>
      <w:r>
        <w:rPr>
          <w:b/>
        </w:rPr>
        <w:t>Nm³/d</w:t>
      </w:r>
      <w:r>
        <w:t xml:space="preserve"> (Normal metros cúbicos por dia) - normalizado a 20°C e 1 atm</w:t>
      </w:r>
    </w:p>
    <w:p>
      <w:pPr>
        <w:spacing w:after="40" w:before="160"/>
      </w:pPr>
      <w:r>
        <w:rPr>
          <w:rFonts w:ascii="Consolas" w:hAnsi="Consolas"/>
          <w:b/>
          <w:color w:val="1A3C6E"/>
          <w:sz w:val="16"/>
        </w:rPr>
        <w:t>In [1]: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import sys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from pathlib import Path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# Configurar caminhos do projeto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PROJECT_ROOT = Path('.').resolve().parent if Path('.').resolve().name == 'notebooks' else Path('.').resolve()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sys.path.insert(0, str(PROJECT_ROOT / 'src'))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from config import DATA_DIR, GRAFICOS_DIR, EXCEL_DEFAULT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EXCEL_PATH = DATA_DIR / EXCEL_DEFAULT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GRAFICOS_DIR.mkdir(parents=True, exist_ok=True)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import pandas as pd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import numpy as np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import matplotlib.pyplot as plt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import matplotlib.dates as mdates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import seaborn as sns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import warnings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warnings.filterwarnings('ignore')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plt.rcParams['figure.figsize'] = (14, 6)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plt.rcParams['font.size'] = 12</w:t>
      </w:r>
    </w:p>
    <w:p>
      <w:pPr>
        <w:pStyle w:val="Heading2"/>
      </w:pPr>
      <w:r>
        <w:t>1. Carregamento dos Dados</w:t>
      </w:r>
    </w:p>
    <w:p>
      <w:pPr>
        <w:spacing w:after="40" w:before="160"/>
      </w:pPr>
      <w:r>
        <w:rPr>
          <w:rFonts w:ascii="Consolas" w:hAnsi="Consolas"/>
          <w:b/>
          <w:color w:val="1A3C6E"/>
          <w:sz w:val="16"/>
        </w:rPr>
        <w:t>In [2]: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# Ler a aba de volumes de entrada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df_raw = pd.read_excel(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EXCEL_PATH, 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sheet_name='Vol Entrada Gas',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header=1,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usecols='B:F'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# Padronizar nomes das colunas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df_raw.columns = ['Data', 'Concessionaria_Nm3d', 'Transportadora_Nm3d', 'Dif_Abs', 'Dif_Pct']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# Limpar: manter apenas linhas com datas válidas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df_raw['Data'] = pd.to_datetime(df_raw['Data'], errors='coerce')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df = df_raw.dropna(subset=['Data']).copy()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df = df.reset_index(drop=True)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print(f'Registros: {len(df)}')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print(f'Período: {df["Data"].min().strftime("%d/%m/%Y")} a {df["Data"].max().strftime("%d/%m/%Y")}')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df.head()</w:t>
      </w:r>
    </w:p>
    <w:p>
      <w:pPr>
        <w:spacing w:after="40" w:before="80"/>
      </w:pPr>
      <w:r>
        <w:rPr>
          <w:rFonts w:ascii="Consolas" w:hAnsi="Consolas"/>
          <w:b/>
          <w:color w:val="2D5016"/>
          <w:sz w:val="16"/>
        </w:rPr>
        <w:t>Out: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  <w:t>Registros: 183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  <w:t>Período: 01/04/2025 a 30/09/2025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</w:r>
    </w:p>
    <w:p>
      <w:pPr>
        <w:spacing w:after="40" w:before="80"/>
      </w:pPr>
      <w:r>
        <w:rPr>
          <w:rFonts w:ascii="Consolas" w:hAnsi="Consolas"/>
          <w:b/>
          <w:color w:val="2D5016"/>
          <w:sz w:val="16"/>
        </w:rPr>
        <w:t>Out: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  <w:t xml:space="preserve">        Data Concessionaria_Nm3d Transportadora_Nm3d Dif_Abs Dif_Pct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  <w:t>0 2025-04-01         839428.1875              839428  0.1875     0.0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  <w:t>1 2025-04-02          838410.875              838411  -0.125    -0.0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  <w:t>2 2025-04-03          802091.375              802091   0.375     0.0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  <w:t>3 2025-04-04          987160.125              987160   0.125     0.0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  <w:t>4 2025-04-05         1067652.625             1067653  -0.375    -0.0</w:t>
      </w:r>
    </w:p>
    <w:p>
      <w:pPr>
        <w:pStyle w:val="Heading2"/>
      </w:pPr>
      <w:r>
        <w:t>2. Cálculos Básicos</w:t>
      </w:r>
    </w:p>
    <w:p>
      <w:r>
        <w:t>Vamos recalcular as diferenças para verificar se batem com os valores da planilha:</w:t>
      </w:r>
    </w:p>
    <w:p>
      <w:pPr>
        <w:pStyle w:val="ListBullet"/>
      </w:pPr>
      <w:r>
        <w:rPr>
          <w:b/>
        </w:rPr>
        <w:t>Diferença Absoluta:</w:t>
      </w:r>
      <w:r>
        <w:t xml:space="preserve"> `Concessionária - Transportadora`</w:t>
      </w:r>
    </w:p>
    <w:p>
      <w:pPr>
        <w:pStyle w:val="ListBullet"/>
      </w:pPr>
      <w:r>
        <w:rPr>
          <w:b/>
        </w:rPr>
        <w:t>Diferença Percentual:</w:t>
      </w:r>
      <w:r>
        <w:t xml:space="preserve"> `Dif_Abs / Concessionária × 100`</w:t>
      </w:r>
    </w:p>
    <w:p>
      <w:pPr>
        <w:pStyle w:val="ListBullet"/>
      </w:pPr>
      <w:r>
        <w:rPr>
          <w:b/>
        </w:rPr>
        <w:t>Conversão para m³/h:</w:t>
      </w:r>
      <w:r>
        <w:t xml:space="preserve"> `Volume_Nm3d / 24`</w:t>
      </w:r>
    </w:p>
    <w:p>
      <w:pPr>
        <w:spacing w:after="40" w:before="160"/>
      </w:pPr>
      <w:r>
        <w:rPr>
          <w:rFonts w:ascii="Consolas" w:hAnsi="Consolas"/>
          <w:b/>
          <w:color w:val="1A3C6E"/>
          <w:sz w:val="16"/>
        </w:rPr>
        <w:t>In [3]: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# Recalcular diferenças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df['Dif_Abs_Calc'] = df['Concessionaria_Nm3d'] - df['Transportadora_Nm3d']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df['Dif_Pct_Calc'] = (df['Dif_Abs_Calc'] / df['Concessionaria_Nm3d']) * 100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# Conversão para m³/h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df['Conc_m3h'] = df['Concessionaria_Nm3d'] / 24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df['Transp_m3h'] = df['Transportadora_Nm3d'] / 24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# Estatísticas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print('=== Estatísticas dos Volumes Diários (Nm³/d) ===')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stats = pd.DataFrame({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'Concessionária': df['Concessionaria_Nm3d'].agg(['mean', 'min', 'max', 'std']),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'Transportadora': df['Transportadora_Nm3d'].agg(['mean', 'min', 'max', 'std']),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'Diferença Abs': df['Dif_Abs_Calc'].agg(['mean', 'min', 'max', 'std']),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'Diferença %': df['Dif_Pct_Calc'].agg(['mean', 'min', 'max', 'std'])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})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stats.index = ['Média', 'Mínimo', 'Máximo', 'Desvio Padrão']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stats</w:t>
      </w:r>
    </w:p>
    <w:p>
      <w:pPr>
        <w:spacing w:after="40" w:before="80"/>
      </w:pPr>
      <w:r>
        <w:rPr>
          <w:rFonts w:ascii="Consolas" w:hAnsi="Consolas"/>
          <w:b/>
          <w:color w:val="2D5016"/>
          <w:sz w:val="16"/>
        </w:rPr>
        <w:t>Out: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  <w:t>=== Estatísticas dos Volumes Diários (Nm³/d) ===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</w:r>
    </w:p>
    <w:p>
      <w:pPr>
        <w:spacing w:after="40" w:before="80"/>
      </w:pPr>
      <w:r>
        <w:rPr>
          <w:rFonts w:ascii="Consolas" w:hAnsi="Consolas"/>
          <w:b/>
          <w:color w:val="2D5016"/>
          <w:sz w:val="16"/>
        </w:rPr>
        <w:t>Out: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  <w:t xml:space="preserve">               Concessionária  Transportadora  Diferença Abs  Diferença %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  <w:t>Média            9.995620e+05    9.995621e+05      -0.087090    -0.000009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  <w:t>Mínimo           5.059649e+05    5.059650e+05      -0.500000    -0.000083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  <w:t>Máximo           1.240865e+06    1.240865e+06       0.437500     0.000065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  <w:t>Desvio Padrão    1.686092e+05    1.686092e+05       0.278804     0.000029</w:t>
      </w:r>
    </w:p>
    <w:p>
      <w:pPr>
        <w:spacing w:after="40" w:before="160"/>
      </w:pPr>
      <w:r>
        <w:rPr>
          <w:rFonts w:ascii="Consolas" w:hAnsi="Consolas"/>
          <w:b/>
          <w:color w:val="1A3C6E"/>
          <w:sz w:val="16"/>
        </w:rPr>
        <w:t>In [4]: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# Estatísticas em m³/h (para comparar com linhas 199-201 da planilha)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print('=== Estatísticas em m³/h ===')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stats_m3h = pd.DataFrame({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'Concessionária (m³/h)': df['Conc_m3h'].agg(['mean', 'min', 'max']),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'Transportadora (m³/h)': df['Transp_m3h'].agg(['mean', 'min', 'max'])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})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stats_m3h.index = ['Média', 'Mínimo', 'Máximo']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print(stats_m3h.to_string())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print(f'\n** Valores esperados da planilha: Média ~ 41.648 m³/h, Min ~ 21.082 m³/h, Max ~ 51.703 m³/h **')</w:t>
      </w:r>
    </w:p>
    <w:p>
      <w:pPr>
        <w:spacing w:after="40" w:before="80"/>
      </w:pPr>
      <w:r>
        <w:rPr>
          <w:rFonts w:ascii="Consolas" w:hAnsi="Consolas"/>
          <w:b/>
          <w:color w:val="2D5016"/>
          <w:sz w:val="16"/>
        </w:rPr>
        <w:t>Out: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  <w:t>=== Estatísticas em m³/h ===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  <w:t xml:space="preserve">        Concessionária (m³/h)  Transportadora (m³/h)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  <w:t>Média            41648.417592           41648.421220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  <w:t>Mínimo           21081.872396           21081.875000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  <w:t>Máximo           51702.703125           51702.708333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  <w:t>** Valores esperados da planilha: Média ~ 41.648 m³/h, Min ~ 21.082 m³/h, Max ~ 51.703 m³/h **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</w:r>
    </w:p>
    <w:p>
      <w:pPr>
        <w:pStyle w:val="Heading2"/>
      </w:pPr>
      <w:r>
        <w:t>3. Gráficos</w:t>
      </w:r>
    </w:p>
    <w:p>
      <w:pPr>
        <w:pStyle w:val="Heading3"/>
      </w:pPr>
      <w:r>
        <w:t>3.1 Série Temporal - Volumes Diários</w:t>
      </w:r>
    </w:p>
    <w:p>
      <w:pPr>
        <w:spacing w:after="40" w:before="160"/>
      </w:pPr>
      <w:r>
        <w:rPr>
          <w:rFonts w:ascii="Consolas" w:hAnsi="Consolas"/>
          <w:b/>
          <w:color w:val="1A3C6E"/>
          <w:sz w:val="16"/>
        </w:rPr>
        <w:t>In [5]: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fig, ax = plt.subplots(figsize=(16, 6))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ax.plot(df['Data'], df['Concessionaria_Nm3d'] / 1000, 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    label='Concessionária', color='#2196F3', linewidth=1.5, alpha=0.9)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ax.plot(df['Data'], df['Transportadora_Nm3d'] / 1000, 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    label='Transportadora', color='#FF5722', linewidth=1.5, alpha=0.7, linestyle='--')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# Linha de média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media = df['Concessionaria_Nm3d'].mean() / 1000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ax.axhline(y=media, color='gray', linestyle=':', alpha=0.5, label=f'Média: {media:,.0f} mil Nm³/d')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ax.set_title('Volume de Entrada Diário - Concessionária vs Transportadora', fontsize=14, fontweight='bold')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ax.set_xlabel('Data')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ax.set_ylabel('Volume (10³ Nm³/d)')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ax.legend(loc='lower left')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ax.grid(True, alpha=0.3)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ax.xaxis.set_major_formatter(mdates.DateFormatter('%b/%Y'))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ax.xaxis.set_major_locator(mdates.MonthLocator())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plt.xticks(rotation=45)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plt.tight_layout()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plt.savefig(str(GRAFICOS_DIR / 'vol_entrada_serie.png'), dpi=150, bbox_inches='tight')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plt.show()</w:t>
      </w:r>
    </w:p>
    <w:p>
      <w:pPr>
        <w:spacing w:before="120" w:after="120"/>
        <w:jc w:val="center"/>
      </w:pPr>
      <w:r>
        <w:drawing>
          <wp:inline xmlns:a="http://schemas.openxmlformats.org/drawingml/2006/main" xmlns:pic="http://schemas.openxmlformats.org/drawingml/2006/picture">
            <wp:extent cx="4572000" cy="1685636"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68563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3.2 Série Temporal das Diferenças</w:t>
      </w:r>
    </w:p>
    <w:p>
      <w:pPr>
        <w:spacing w:after="40" w:before="160"/>
      </w:pPr>
      <w:r>
        <w:rPr>
          <w:rFonts w:ascii="Consolas" w:hAnsi="Consolas"/>
          <w:b/>
          <w:color w:val="1A3C6E"/>
          <w:sz w:val="16"/>
        </w:rPr>
        <w:t>In [6]: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fig, (ax1, ax2) = plt.subplots(2, 1, figsize=(16, 8), sharex=True)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# Diferença absoluta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ax1.bar(df['Data'], df['Dif_Abs_Calc'], color='steelblue', alpha=0.7, width=1)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ax1.axhline(y=0, color='red', linewidth=0.8)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ax1.set_title('Diferença Absoluta (Concessionária - Transportadora)', fontsize=13, fontweight='bold')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ax1.set_ylabel('Diferença (Nm³)')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ax1.grid(True, alpha=0.3)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# Diferença percentual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ax2.bar(df['Data'], df['Dif_Pct_Calc'], color='darkorange', alpha=0.7, width=1)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ax2.axhline(y=0, color='red', linewidth=0.8)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ax2.set_title('Diferença Percentual', fontsize=13, fontweight='bold')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ax2.set_ylabel('Diferença (%)')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ax2.set_xlabel('Data')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ax2.grid(True, alpha=0.3)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ax2.xaxis.set_major_formatter(mdates.DateFormatter('%b/%Y'))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ax2.xaxis.set_major_locator(mdates.MonthLocator())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plt.xticks(rotation=45)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plt.tight_layout()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plt.savefig(str(GRAFICOS_DIR / 'vol_entrada_diferencas.png'), dpi=150, bbox_inches='tight')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plt.show()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print(f'Diferença absoluta média: {df["Dif_Abs_Calc"].mean():.4f} Nm³')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print(f'Diferença percentual média: {df["Dif_Pct_Calc"].mean():.6f}%')</w:t>
      </w:r>
    </w:p>
    <w:p>
      <w:pPr>
        <w:spacing w:before="120" w:after="120"/>
        <w:jc w:val="center"/>
      </w:pPr>
      <w:r>
        <w:drawing>
          <wp:inline xmlns:a="http://schemas.openxmlformats.org/drawingml/2006/main" xmlns:pic="http://schemas.openxmlformats.org/drawingml/2006/picture">
            <wp:extent cx="4572000" cy="2262909"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6290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40" w:before="80"/>
      </w:pPr>
      <w:r>
        <w:rPr>
          <w:rFonts w:ascii="Consolas" w:hAnsi="Consolas"/>
          <w:b/>
          <w:color w:val="2D5016"/>
          <w:sz w:val="16"/>
        </w:rPr>
        <w:t>Out: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  <w:t>Diferença absoluta média: -0.0871 Nm³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  <w:t>Diferença percentual média: -0.000009%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</w:r>
    </w:p>
    <w:p>
      <w:pPr>
        <w:pStyle w:val="Heading3"/>
      </w:pPr>
      <w:r>
        <w:t>3.3 Histograma das Diferenças</w:t>
      </w:r>
    </w:p>
    <w:p>
      <w:pPr>
        <w:spacing w:after="40" w:before="160"/>
      </w:pPr>
      <w:r>
        <w:rPr>
          <w:rFonts w:ascii="Consolas" w:hAnsi="Consolas"/>
          <w:b/>
          <w:color w:val="1A3C6E"/>
          <w:sz w:val="16"/>
        </w:rPr>
        <w:t>In [7]: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fig, (ax1, ax2) = plt.subplots(1, 2, figsize=(16, 5))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# Histograma da diferença absoluta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ax1.hist(df['Dif_Abs_Calc'], bins=30, color='steelblue', edgecolor='white', alpha=0.8)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ax1.axvline(x=0, color='red', linewidth=1.5, linestyle='--')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ax1.axvline(x=df['Dif_Abs_Calc'].mean(), color='orange', linewidth=1.5, 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        linestyle='--', label=f'Média: {df["Dif_Abs_Calc"].mean():.3f}')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ax1.set_title('Distribuição da Diferença Absoluta', fontweight='bold')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ax1.set_xlabel('Diferença (Nm³)')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ax1.set_ylabel('Frequência')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ax1.legend()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# Histograma da diferença percentual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ax2.hist(df['Dif_Pct_Calc'], bins=30, color='darkorange', edgecolor='white', alpha=0.8)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ax2.axvline(x=0, color='red', linewidth=1.5, linestyle='--')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ax2.set_title('Distribuição da Diferença Percentual', fontweight='bold')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ax2.set_xlabel('Diferença (%)')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ax2.set_ylabel('Frequência')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plt.tight_layout()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plt.savefig(str(GRAFICOS_DIR / 'vol_entrada_histograma.png'), dpi=150, bbox_inches='tight')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plt.show()</w:t>
      </w:r>
    </w:p>
    <w:p>
      <w:pPr>
        <w:spacing w:before="120" w:after="120"/>
        <w:jc w:val="center"/>
      </w:pPr>
      <w:r>
        <w:drawing>
          <wp:inline xmlns:a="http://schemas.openxmlformats.org/drawingml/2006/main" xmlns:pic="http://schemas.openxmlformats.org/drawingml/2006/picture">
            <wp:extent cx="4572000" cy="1397000"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397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3.4 Boxplot Mensal de Volumes</w:t>
      </w:r>
    </w:p>
    <w:p>
      <w:pPr>
        <w:spacing w:after="40" w:before="160"/>
      </w:pPr>
      <w:r>
        <w:rPr>
          <w:rFonts w:ascii="Consolas" w:hAnsi="Consolas"/>
          <w:b/>
          <w:color w:val="1A3C6E"/>
          <w:sz w:val="16"/>
        </w:rPr>
        <w:t>In [8]: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# Adicionar coluna de mês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df['Mes'] = df['Data'].dt.to_period('M').astype(str)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fig, ax = plt.subplots(figsize=(14, 6))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# Preparar dados para boxplot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meses_unicos = df['Mes'].unique()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dados_box = [df[df['Mes'] == m]['Concessionaria_Nm3d'].values / 1000 for m in meses_unicos]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bp = ax.boxplot(dados_box, labels=meses_unicos, patch_artist=True,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            boxprops=dict(facecolor='lightblue', alpha=0.7),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            medianprops=dict(color='red', linewidth=2))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ax.set_title('Distribuição Mensal dos Volumes de Entrada (Concessionária)', fontsize=14, fontweight='bold')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ax.set_xlabel('Mês')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ax.set_ylabel('Volume (10³ Nm³/d)')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ax.grid(True, alpha=0.3, axis='y')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plt.tight_layout()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plt.savefig(str(GRAFICOS_DIR / 'vol_entrada_boxplot.png'), dpi=150, bbox_inches='tight')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plt.show()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# Estatísticas mensais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print('=== Volume Médio Mensal (Nm³/d) ===')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print(df.groupby('Mes')['Concessionaria_Nm3d'].agg(['mean', 'min', 'max', 'std']).to_string())</w:t>
      </w:r>
    </w:p>
    <w:p>
      <w:pPr>
        <w:spacing w:before="120" w:after="120"/>
        <w:jc w:val="center"/>
      </w:pPr>
      <w:r>
        <w:drawing>
          <wp:inline xmlns:a="http://schemas.openxmlformats.org/drawingml/2006/main" xmlns:pic="http://schemas.openxmlformats.org/drawingml/2006/picture">
            <wp:extent cx="4572000" cy="1929225"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9292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40" w:before="80"/>
      </w:pPr>
      <w:r>
        <w:rPr>
          <w:rFonts w:ascii="Consolas" w:hAnsi="Consolas"/>
          <w:b/>
          <w:color w:val="2D5016"/>
          <w:sz w:val="16"/>
        </w:rPr>
        <w:t>Out: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  <w:t>=== Volume Médio Mensal (Nm³/d) ===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  <w:t xml:space="preserve">                   mean          min          max            std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  <w:t xml:space="preserve">Mes                                                             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  <w:t>2025-04   973461.820833  505964.9375  1240864.875  185662.110295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  <w:t>2025-05  1072409.258065   832262.875    1224848.0  105769.864549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  <w:t>2025-06   1085016.35625    872264.25   1218171.25  114028.210842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  <w:t>2025-07   1008060.53629     787670.5   1145682.25  106684.022845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  <w:t>2025-08   855491.945565   575282.125  1184993.875  246074.319332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  <w:t>2025-09  1005023.027083  781997.4375    1164204.5   93429.127213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</w:r>
    </w:p>
    <w:p>
      <w:pPr>
        <w:pStyle w:val="Heading2"/>
      </w:pPr>
      <w:r>
        <w:t>4. Conclusões</w:t>
      </w:r>
    </w:p>
    <w:p>
      <w:pPr>
        <w:pStyle w:val="Heading3"/>
      </w:pPr>
      <w:r>
        <w:t>Observações:</w:t>
      </w:r>
    </w:p>
    <w:p>
      <w:pPr>
        <w:pStyle w:val="ListBullet"/>
      </w:pPr>
      <w:r>
        <w:t xml:space="preserve">As medições de Concessionária e Transportadora são </w:t>
      </w:r>
      <w:r>
        <w:rPr>
          <w:b/>
        </w:rPr>
        <w:t>praticamente idênticas</w:t>
      </w:r>
      <w:r>
        <w:t xml:space="preserve"> (diferença &lt; 0,01%)</w:t>
      </w:r>
    </w:p>
    <w:p>
      <w:pPr>
        <w:pStyle w:val="ListBullet"/>
      </w:pPr>
      <w:r>
        <w:t>O volume diário varia entre ~506 mil e ~1,24 milhão Nm³/d</w:t>
      </w:r>
    </w:p>
    <w:p>
      <w:pPr>
        <w:pStyle w:val="ListBullet"/>
      </w:pPr>
      <w:r>
        <w:t>A média é de ~999,6 mil Nm³/d (~41.648 m³/h)</w:t>
      </w:r>
    </w:p>
    <w:p>
      <w:pPr>
        <w:pStyle w:val="ListBullet"/>
      </w:pPr>
      <w:r>
        <w:t>A concordância entre as partes valida a transferência de custódia</w:t>
      </w:r>
    </w:p>
    <w:p>
      <w:r>
        <w:br w:type="page"/>
      </w:r>
    </w:p>
    <w:p>
      <w:pPr>
        <w:pStyle w:val="Heading2"/>
      </w:pPr>
      <w:r>
        <w:t>A.3 Análise do Poder Calorífico Superior</w:t>
      </w:r>
    </w:p>
    <w:p>
      <w:r>
        <w:t># Notebook 3: Análise do Poder Calorífico Superior (PCS)</w:t>
      </w:r>
    </w:p>
    <w:p>
      <w:pPr>
        <w:pStyle w:val="Heading2"/>
      </w:pPr>
      <w:r>
        <w:t>Curso ABAR - Medições Inteligentes e Gestão Integrada</w:t>
      </w:r>
    </w:p>
    <w:p>
      <w:pPr>
        <w:pStyle w:val="Heading3"/>
      </w:pPr>
      <w:r>
        <w:t>Objetivo</w:t>
      </w:r>
    </w:p>
    <w:p>
      <w:r>
        <w:t>Analisar o PCS (Poder Calorífico Superior) do gás natural na entrada do distrito.</w:t>
      </w:r>
    </w:p>
    <w:p>
      <w:pPr>
        <w:pStyle w:val="Heading3"/>
      </w:pPr>
      <w:r>
        <w:t>Conceitos-chave</w:t>
      </w:r>
    </w:p>
    <w:p>
      <w:pPr>
        <w:pStyle w:val="ListBullet"/>
      </w:pPr>
      <w:r>
        <w:rPr>
          <w:b/>
        </w:rPr>
        <w:t>PCS (Poder Calorífico Superior):</w:t>
      </w:r>
      <w:r>
        <w:t xml:space="preserve"> Energia total liberada na combustão completa de 1 m³ de gás, incluindo calor de condensação do vapor d'água</w:t>
      </w:r>
    </w:p>
    <w:p>
      <w:pPr>
        <w:pStyle w:val="ListBullet"/>
      </w:pPr>
      <w:r>
        <w:t xml:space="preserve">Unidade: </w:t>
      </w:r>
      <w:r>
        <w:rPr>
          <w:b/>
        </w:rPr>
        <w:t>kcal/m³</w:t>
      </w:r>
      <w:r>
        <w:t xml:space="preserve"> (quilocalorias por metro cúbico nas condições de referência)</w:t>
      </w:r>
    </w:p>
    <w:p>
      <w:pPr>
        <w:pStyle w:val="ListBullet"/>
      </w:pPr>
      <w:r>
        <w:t xml:space="preserve">O PCS depende da </w:t>
      </w:r>
      <w:r>
        <w:rPr>
          <w:b/>
        </w:rPr>
        <w:t>composição do gás</w:t>
      </w:r>
      <w:r>
        <w:t xml:space="preserve"> (obtida por cromatografia)</w:t>
      </w:r>
    </w:p>
    <w:p>
      <w:pPr>
        <w:pStyle w:val="ListBullet"/>
      </w:pPr>
      <w:r>
        <w:t xml:space="preserve">Variações no PCS afetam diretamente o </w:t>
      </w:r>
      <w:r>
        <w:rPr>
          <w:b/>
        </w:rPr>
        <w:t>valor comercial</w:t>
      </w:r>
      <w:r>
        <w:t xml:space="preserve"> do gás: Energia = Volume × PCS</w:t>
      </w:r>
    </w:p>
    <w:p>
      <w:pPr>
        <w:pStyle w:val="ListBullet"/>
      </w:pPr>
      <w:r>
        <w:t>Gás de boa qualidade tem PCS mais alto → mais energia por m³</w:t>
      </w:r>
    </w:p>
    <w:p>
      <w:pPr>
        <w:spacing w:after="40" w:before="160"/>
      </w:pPr>
      <w:r>
        <w:rPr>
          <w:rFonts w:ascii="Consolas" w:hAnsi="Consolas"/>
          <w:b/>
          <w:color w:val="1A3C6E"/>
          <w:sz w:val="16"/>
        </w:rPr>
        <w:t>In [1]: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import sys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from pathlib import Path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# Configurar caminhos do projeto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PROJECT_ROOT = Path('.').resolve().parent if Path('.').resolve().name == 'notebooks' else Path('.').resolve()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sys.path.insert(0, str(PROJECT_ROOT / 'src'))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from config import DATA_DIR, GRAFICOS_DIR, EXCEL_DEFAULT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EXCEL_PATH = DATA_DIR / EXCEL_DEFAULT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GRAFICOS_DIR.mkdir(parents=True, exist_ok=True)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import pandas as pd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import numpy as np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import matplotlib.pyplot as plt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import matplotlib.dates as mdates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import seaborn as sns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import warnings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warnings.filterwarnings('ignore')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plt.rcParams['figure.figsize'] = (14, 6)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plt.rcParams['font.size'] = 12</w:t>
      </w:r>
    </w:p>
    <w:p>
      <w:r>
        <w:t># Ler aba de PCS</w:t>
      </w:r>
    </w:p>
    <w:p>
      <w:r>
        <w:t># NOTA: O nome da aba tem um espaço no final: 'PCS Ent '</w:t>
      </w:r>
    </w:p>
    <w:p>
      <w:r>
        <w:t>df_raw = pd.read_excel(</w:t>
      </w:r>
    </w:p>
    <w:p>
      <w:r>
        <w:t>ARQUIVO_EXCEL,</w:t>
      </w:r>
    </w:p>
    <w:p>
      <w:r>
        <w:t>sheet_name='PCS Ent ',  # Espaço no final é intencional</w:t>
      </w:r>
    </w:p>
    <w:p>
      <w:r>
        <w:t>header=1,</w:t>
      </w:r>
    </w:p>
    <w:p>
      <w:r>
        <w:t>usecols='B:F'</w:t>
      </w:r>
    </w:p>
    <w:p>
      <w:r>
        <w:t>)</w:t>
      </w:r>
    </w:p>
    <w:p>
      <w:r>
        <w:t># Padronizar nomes</w:t>
      </w:r>
    </w:p>
    <w:p>
      <w:r>
        <w:t>df_raw.columns = ['Data', 'PCS_Conc_kcal', 'PCS_Transp_kcal', 'Dif_Abs', 'Dif_Pct']</w:t>
      </w:r>
    </w:p>
    <w:p>
      <w:r>
        <w:t># Limpar dados</w:t>
      </w:r>
    </w:p>
    <w:p>
      <w:r>
        <w:t>df_raw['Data'] = pd.to_datetime(df_raw['Data'], errors='coerce')</w:t>
      </w:r>
    </w:p>
    <w:p>
      <w:r>
        <w:t>df = df_raw.dropna(subset=['Data']).copy().reset_index(drop=True)</w:t>
      </w:r>
    </w:p>
    <w:p>
      <w:r>
        <w:t>print(f'Registros: {len(df)}')</w:t>
      </w:r>
    </w:p>
    <w:p>
      <w:r>
        <w:t>print(f'Período: {df["Data"].min().strftime("%d/%m/%Y")} a {df["Data"].max().strftime("%d/%m/%Y")}')</w:t>
      </w:r>
    </w:p>
    <w:p>
      <w:r>
        <w:t>df.head()</w:t>
      </w:r>
    </w:p>
    <w:p>
      <w:pPr>
        <w:spacing w:after="40" w:before="160"/>
      </w:pPr>
      <w:r>
        <w:rPr>
          <w:rFonts w:ascii="Consolas" w:hAnsi="Consolas"/>
          <w:b/>
          <w:color w:val="1A3C6E"/>
          <w:sz w:val="16"/>
        </w:rPr>
        <w:t>In [2]: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# Ler aba de PCS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df_raw = pd.read_excel(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EXCEL_PATH, 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sheet_name='PCS Ent ',  # Espaço no final é intencional (nome real da aba)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header=1,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usecols='B:F'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# Padronizar nomes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df_raw.columns = ['Data', 'PCS_Conc_kcal', 'PCS_Transp_kcal', 'Dif_Abs', 'Dif_Pct']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# Limpar dados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df_raw['Data'] = pd.to_datetime(df_raw['Data'], errors='coerce')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df = df_raw.dropna(subset=['Data']).copy().reset_index(drop=True)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print(f'Registros: {len(df)}')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print(f'Período: {df["Data"].min().strftime("%d/%m/%Y")} a {df["Data"].max().strftime("%d/%m/%Y")}')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df.head()</w:t>
      </w:r>
    </w:p>
    <w:p>
      <w:pPr>
        <w:spacing w:after="40" w:before="80"/>
      </w:pPr>
      <w:r>
        <w:rPr>
          <w:rFonts w:ascii="Consolas" w:hAnsi="Consolas"/>
          <w:b/>
          <w:color w:val="2D5016"/>
          <w:sz w:val="16"/>
        </w:rPr>
        <w:t>Out: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  <w:t>Registros: 183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  <w:t>Período: 01/04/2025 a 30/09/2025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</w:r>
    </w:p>
    <w:p>
      <w:pPr>
        <w:spacing w:after="40" w:before="80"/>
      </w:pPr>
      <w:r>
        <w:rPr>
          <w:rFonts w:ascii="Consolas" w:hAnsi="Consolas"/>
          <w:b/>
          <w:color w:val="2D5016"/>
          <w:sz w:val="16"/>
        </w:rPr>
        <w:t>Out: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  <w:t xml:space="preserve">        Data PCS_Conc_kcal PCS_Transp_kcal Dif_Abs   Dif_Pct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  <w:t>0 2025-04-01     9774.6934            9775 -0.3066 -0.000031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  <w:t>1 2025-04-02     9629.9734            9630 -0.0266 -0.000003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  <w:t>2 2025-04-03      9668.398            9668   0.398  0.000041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  <w:t>3 2025-04-04     9614.4273            9614  0.4273  0.000044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  <w:t>4 2025-04-05     9588.8016            9589 -0.1984 -0.000021</w:t>
      </w:r>
    </w:p>
    <w:p>
      <w:pPr>
        <w:pStyle w:val="Heading2"/>
      </w:pPr>
      <w:r>
        <w:t>2. Cálculos e Estatísticas</w:t>
      </w:r>
    </w:p>
    <w:p>
      <w:pPr>
        <w:spacing w:after="40" w:before="160"/>
      </w:pPr>
      <w:r>
        <w:rPr>
          <w:rFonts w:ascii="Consolas" w:hAnsi="Consolas"/>
          <w:b/>
          <w:color w:val="1A3C6E"/>
          <w:sz w:val="16"/>
        </w:rPr>
        <w:t>In [3]: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# Recalcular diferenças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df['Dif_Abs_Calc'] = df['PCS_Conc_kcal'] - df['PCS_Transp_kcal']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df['Dif_Pct_Calc'] = (df['Dif_Abs_Calc'] / df['PCS_Conc_kcal']) * 100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# Estatísticas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print('=== Estatísticas do PCS (kcal/m³) ===')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stats = pd.DataFrame({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'Concessionária': df['PCS_Conc_kcal'].agg(['mean', 'min', 'max', 'std']),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'Transportadora': df['PCS_Transp_kcal'].agg(['mean', 'min', 'max', 'std']),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'Diferença Abs': df['Dif_Abs_Calc'].agg(['mean', 'min', 'max', 'std']),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'Diferença %': df['Dif_Pct_Calc'].agg(['mean', 'min', 'max', 'std'])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})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stats.index = ['Média', 'Mínimo', 'Máximo', 'Desvio Padrão']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stats</w:t>
      </w:r>
    </w:p>
    <w:p>
      <w:pPr>
        <w:spacing w:after="40" w:before="80"/>
      </w:pPr>
      <w:r>
        <w:rPr>
          <w:rFonts w:ascii="Consolas" w:hAnsi="Consolas"/>
          <w:b/>
          <w:color w:val="2D5016"/>
          <w:sz w:val="16"/>
        </w:rPr>
        <w:t>Out: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  <w:t>=== Estatísticas do PCS (kcal/m³) ===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</w:r>
    </w:p>
    <w:p>
      <w:pPr>
        <w:spacing w:after="40" w:before="80"/>
      </w:pPr>
      <w:r>
        <w:rPr>
          <w:rFonts w:ascii="Consolas" w:hAnsi="Consolas"/>
          <w:b/>
          <w:color w:val="2D5016"/>
          <w:sz w:val="16"/>
        </w:rPr>
        <w:t>Out: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  <w:t xml:space="preserve">               Concessionária  Transportadora  Diferença Abs  Diferença %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  <w:t>Média             9538.916913     9538.912568       0.004345     0.000046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  <w:t>Mínimo            9167.848400     9168.000000      -0.493500    -0.005208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  <w:t>Máximo            9785.955500     9786.000000       0.483100     0.005147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  <w:t>Desvio Padrão      104.335065      104.335327       0.287629     0.003017</w:t>
      </w:r>
    </w:p>
    <w:p>
      <w:pPr>
        <w:spacing w:after="40" w:before="160"/>
      </w:pPr>
      <w:r>
        <w:rPr>
          <w:rFonts w:ascii="Consolas" w:hAnsi="Consolas"/>
          <w:b/>
          <w:color w:val="1A3C6E"/>
          <w:sz w:val="16"/>
        </w:rPr>
        <w:t>In [4]: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# Verificação com valores esperados da planilha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print('=== Verificação com Planilha ===')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print(f'PCS Médio Concessionária: {df["PCS_Conc_kcal"].mean():,.2f} kcal/m³  (esperado: ~9.538,92)')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print(f'PCS Mínimo Concessionária: {df["PCS_Conc_kcal"].min():,.2f} kcal/m³  (esperado: ~9.167,85)')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print(f'PCS Máximo Concessionária: {df["PCS_Conc_kcal"].max():,.2f} kcal/m³  (esperado: ~9.785,96)')</w:t>
      </w:r>
    </w:p>
    <w:p>
      <w:pPr>
        <w:spacing w:after="40" w:before="80"/>
      </w:pPr>
      <w:r>
        <w:rPr>
          <w:rFonts w:ascii="Consolas" w:hAnsi="Consolas"/>
          <w:b/>
          <w:color w:val="2D5016"/>
          <w:sz w:val="16"/>
        </w:rPr>
        <w:t>Out: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  <w:t>=== Verificação com Planilha ===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  <w:t>PCS Médio Concessionária: 9,538.92 kcal/m³  (esperado: ~9.538,92)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  <w:t>PCS Mínimo Concessionária: 9,167.85 kcal/m³  (esperado: ~9.167,85)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  <w:t>PCS Máximo Concessionária: 9,785.96 kcal/m³  (esperado: ~9.785,96)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</w:r>
    </w:p>
    <w:p>
      <w:pPr>
        <w:pStyle w:val="Heading2"/>
      </w:pPr>
      <w:r>
        <w:t>3. Gráficos</w:t>
      </w:r>
    </w:p>
    <w:p>
      <w:pPr>
        <w:pStyle w:val="Heading3"/>
      </w:pPr>
      <w:r>
        <w:t>3.1 Série Temporal do PCS</w:t>
      </w:r>
    </w:p>
    <w:p>
      <w:pPr>
        <w:spacing w:after="40" w:before="160"/>
      </w:pPr>
      <w:r>
        <w:rPr>
          <w:rFonts w:ascii="Consolas" w:hAnsi="Consolas"/>
          <w:b/>
          <w:color w:val="1A3C6E"/>
          <w:sz w:val="16"/>
        </w:rPr>
        <w:t>In [5]: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fig, ax = plt.subplots(figsize=(16, 6))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ax.plot(df['Data'], df['PCS_Conc_kcal'], 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    label='Concessionária', color='#4CAF50', linewidth=1.5, alpha=0.9)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ax.plot(df['Data'], df['PCS_Transp_kcal'], 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    label='Transportadora', color='#FF9800', linewidth=1.5, alpha=0.7, linestyle='--')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# Faixa de referência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media = df['PCS_Conc_kcal'].mean()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ax.axhline(y=media, color='gray', linestyle=':', alpha=0.5, 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       label=f'Média: {media:,.0f} kcal/m³')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ax.set_title('PCS de Entrada Diário - Concessionária vs Transportadora', fontsize=14, fontweight='bold')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ax.set_xlabel('Data')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ax.set_ylabel('PCS (kcal/m³)')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ax.legend()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ax.grid(True, alpha=0.3)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ax.xaxis.set_major_formatter(mdates.DateFormatter('%b/%Y'))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ax.xaxis.set_major_locator(mdates.MonthLocator())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plt.xticks(rotation=45)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plt.tight_layout()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plt.savefig(str(GRAFICOS_DIR / 'pcs_serie.png'), dpi=150, bbox_inches='tight')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plt.show()</w:t>
      </w:r>
    </w:p>
    <w:p>
      <w:pPr>
        <w:spacing w:before="120" w:after="120"/>
        <w:jc w:val="center"/>
      </w:pPr>
      <w:r>
        <w:drawing>
          <wp:inline xmlns:a="http://schemas.openxmlformats.org/drawingml/2006/main" xmlns:pic="http://schemas.openxmlformats.org/drawingml/2006/picture">
            <wp:extent cx="4572000" cy="1685636"/>
            <wp:docPr id="32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68563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3.2 Diferenças entre Concessionária e Transportadora</w:t>
      </w:r>
    </w:p>
    <w:p>
      <w:pPr>
        <w:spacing w:after="40" w:before="160"/>
      </w:pPr>
      <w:r>
        <w:rPr>
          <w:rFonts w:ascii="Consolas" w:hAnsi="Consolas"/>
          <w:b/>
          <w:color w:val="1A3C6E"/>
          <w:sz w:val="16"/>
        </w:rPr>
        <w:t>In [6]: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fig, (ax1, ax2) = plt.subplots(2, 1, figsize=(16, 8), sharex=True)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# Diferença absoluta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cores = ['green' if x &gt;= 0 else 'red' for x in df['Dif_Abs_Calc']]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ax1.bar(df['Data'], df['Dif_Abs_Calc'], color=cores, alpha=0.7, width=1)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ax1.axhline(y=0, color='black', linewidth=0.8)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ax1.set_title('Diferença Absoluta do PCS (Concessionária - Transportadora)', fontweight='bold')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ax1.set_ylabel('Diferença (kcal/m³)')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ax1.grid(True, alpha=0.3)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# Diferença percentual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ax2.bar(df['Data'], df['Dif_Pct_Calc'], color='purple', alpha=0.6, width=1)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ax2.axhline(y=0, color='black', linewidth=0.8)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ax2.set_title('Diferença Percentual do PCS', fontweight='bold')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ax2.set_ylabel('Diferença (%)')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ax2.set_xlabel('Data')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ax2.grid(True, alpha=0.3)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ax2.xaxis.set_major_formatter(mdates.DateFormatter('%b/%Y'))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plt.xticks(rotation=45)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plt.tight_layout()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plt.show()</w:t>
      </w:r>
    </w:p>
    <w:p>
      <w:pPr>
        <w:spacing w:before="120" w:after="120"/>
        <w:jc w:val="center"/>
      </w:pPr>
      <w:r>
        <w:drawing>
          <wp:inline xmlns:a="http://schemas.openxmlformats.org/drawingml/2006/main" xmlns:pic="http://schemas.openxmlformats.org/drawingml/2006/picture">
            <wp:extent cx="4572000" cy="2262909"/>
            <wp:docPr id="33" name="Picture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6290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3.3 Histograma de Distribuição do PCS</w:t>
      </w:r>
    </w:p>
    <w:p>
      <w:pPr>
        <w:spacing w:after="40" w:before="160"/>
      </w:pPr>
      <w:r>
        <w:rPr>
          <w:rFonts w:ascii="Consolas" w:hAnsi="Consolas"/>
          <w:b/>
          <w:color w:val="1A3C6E"/>
          <w:sz w:val="16"/>
        </w:rPr>
        <w:t>In [7]: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fig, ax = plt.subplots(figsize=(12, 5))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ax.hist(df['PCS_Conc_kcal'], bins=30, color='#4CAF50', edgecolor='white', 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    alpha=0.7, label='Concessionária')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ax.hist(df['PCS_Transp_kcal'], bins=30, color='#FF9800', edgecolor='white', 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    alpha=0.5, label='Transportadora')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ax.axvline(x=df['PCS_Conc_kcal'].mean(), color='green', linewidth=2, 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       linestyle='--', label=f'Média Conc: {df["PCS_Conc_kcal"].mean():,.0f}')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ax.axvline(x=df['PCS_Conc_kcal'].median(), color='darkgreen', linewidth=2, 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       linestyle=':', label=f'Mediana Conc: {df["PCS_Conc_kcal"].median():,.0f}')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ax.set_title('Distribuição do PCS de Entrada', fontsize=14, fontweight='bold')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ax.set_xlabel('PCS (kcal/m³)')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ax.set_ylabel('Frequência (dias)')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ax.legend()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plt.tight_layout()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plt.savefig(str(GRAFICOS_DIR / 'pcs_histograma.png'), dpi=150, bbox_inches='tight')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plt.show()</w:t>
      </w:r>
    </w:p>
    <w:p>
      <w:pPr>
        <w:spacing w:before="120" w:after="120"/>
        <w:jc w:val="center"/>
      </w:pPr>
      <w:r>
        <w:drawing>
          <wp:inline xmlns:a="http://schemas.openxmlformats.org/drawingml/2006/main" xmlns:pic="http://schemas.openxmlformats.org/drawingml/2006/picture">
            <wp:extent cx="4572000" cy="1868959"/>
            <wp:docPr id="34" name="Picture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86895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3.4 Análise de Tendência - Média Móvel</w:t>
      </w:r>
    </w:p>
    <w:p>
      <w:pPr>
        <w:spacing w:after="40" w:before="160"/>
      </w:pPr>
      <w:r>
        <w:rPr>
          <w:rFonts w:ascii="Consolas" w:hAnsi="Consolas"/>
          <w:b/>
          <w:color w:val="1A3C6E"/>
          <w:sz w:val="16"/>
        </w:rPr>
        <w:t>In [8]: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fig, ax = plt.subplots(figsize=(16, 6))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# Dados diários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ax.plot(df['Data'], df['PCS_Conc_kcal'], color='#4CAF50', alpha=0.3, 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    linewidth=0.8, label='PCS Diário')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# Médias móveis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for janela, cor, estilo in [(7, '#2196F3', '-'), (30, '#F44336', '--')]: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mm = df['PCS_Conc_kcal'].rolling(window=janela, center=True).mean()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ax.plot(df['Data'], mm, color=cor, linewidth=2, linestyle=estilo,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        label=f'Média Móvel {janela} dias')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ax.set_title('PCS com Médias Móveis - Análise de Tendência', fontsize=14, fontweight='bold')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ax.set_xlabel('Data')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ax.set_ylabel('PCS (kcal/m³)')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ax.legend()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ax.grid(True, alpha=0.3)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ax.xaxis.set_major_formatter(mdates.DateFormatter('%b/%Y'))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plt.xticks(rotation=45)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plt.tight_layout()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plt.show()</w:t>
      </w:r>
    </w:p>
    <w:p>
      <w:pPr>
        <w:spacing w:before="120" w:after="120"/>
        <w:jc w:val="center"/>
      </w:pPr>
      <w:r>
        <w:drawing>
          <wp:inline xmlns:a="http://schemas.openxmlformats.org/drawingml/2006/main" xmlns:pic="http://schemas.openxmlformats.org/drawingml/2006/picture">
            <wp:extent cx="4572000" cy="1685636"/>
            <wp:docPr id="35" name="Picture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68563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3.5 Variação Mensal do PCS</w:t>
      </w:r>
    </w:p>
    <w:p>
      <w:pPr>
        <w:spacing w:after="40" w:before="160"/>
      </w:pPr>
      <w:r>
        <w:rPr>
          <w:rFonts w:ascii="Consolas" w:hAnsi="Consolas"/>
          <w:b/>
          <w:color w:val="1A3C6E"/>
          <w:sz w:val="16"/>
        </w:rPr>
        <w:t>In [9]: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df['Mes'] = df['Data'].dt.to_period('M').astype(str)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fig, ax = plt.subplots(figsize=(14, 6))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meses = df['Mes'].unique()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dados_box = [df[df['Mes'] == m]['PCS_Conc_kcal'].values for m in meses]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bp = ax.boxplot(dados_box, labels=meses, patch_artist=True,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            boxprops=dict(facecolor='#C8E6C9', alpha=0.8),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            medianprops=dict(color='red', linewidth=2))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ax.set_title('Variação Mensal do PCS (Concessionária)', fontsize=14, fontweight='bold')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ax.set_xlabel('Mês')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ax.set_ylabel('PCS (kcal/m³)')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ax.grid(True, alpha=0.3, axis='y')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plt.tight_layout()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plt.show()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# Tabela resumo mensal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print('=== PCS Médio Mensal (kcal/m³) ===')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resumo = df.groupby('Mes')['PCS_Conc_kcal'].agg(['mean', 'min', 'max', 'std'])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resumo.columns = ['Média', 'Mínimo', 'Máximo', 'Desvio Padrão']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print(resumo.to_string())</w:t>
      </w:r>
    </w:p>
    <w:p>
      <w:pPr>
        <w:spacing w:before="120" w:after="120"/>
        <w:jc w:val="center"/>
      </w:pPr>
      <w:r>
        <w:drawing>
          <wp:inline xmlns:a="http://schemas.openxmlformats.org/drawingml/2006/main" xmlns:pic="http://schemas.openxmlformats.org/drawingml/2006/picture">
            <wp:extent cx="4572000" cy="1929225"/>
            <wp:docPr id="36" name="Picture 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9292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40" w:before="80"/>
      </w:pPr>
      <w:r>
        <w:rPr>
          <w:rFonts w:ascii="Consolas" w:hAnsi="Consolas"/>
          <w:b/>
          <w:color w:val="2D5016"/>
          <w:sz w:val="16"/>
        </w:rPr>
        <w:t>Out: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  <w:t>=== PCS Médio Mensal (kcal/m³) ===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  <w:t xml:space="preserve">               Média     Mínimo     Máximo  Desvio Padrão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  <w:t xml:space="preserve">Mes                                                      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  <w:t>2025-04  9562.002717  9301.6592  9774.6934     104.976352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  <w:t>2025-05  9494.438897  9167.8484  9740.2617     120.087478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  <w:t>2025-06   9525.80007  9251.0282  9698.1317     119.330074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  <w:t>2025-07  9550.407406  9298.0447  9710.4464      95.020470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  <w:t>2025-08   9521.44759   9388.766  9785.9555      92.681386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  <w:t>2025-09  9581.086693  9440.4048  9729.1475      69.011219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</w:r>
    </w:p>
    <w:p>
      <w:pPr>
        <w:pStyle w:val="Heading2"/>
      </w:pPr>
      <w:r>
        <w:t>4. Conclusões</w:t>
      </w:r>
    </w:p>
    <w:p>
      <w:pPr>
        <w:pStyle w:val="Heading3"/>
      </w:pPr>
      <w:r>
        <w:t>Observações:</w:t>
      </w:r>
    </w:p>
    <w:p>
      <w:pPr>
        <w:pStyle w:val="ListBullet"/>
      </w:pPr>
      <w:r>
        <w:t xml:space="preserve">O PCS médio é de </w:t>
      </w:r>
      <w:r>
        <w:rPr>
          <w:b/>
        </w:rPr>
        <w:t>~9.539 kcal/m³</w:t>
      </w:r>
      <w:r>
        <w:t>, dentro da faixa típica de gás natural</w:t>
      </w:r>
    </w:p>
    <w:p>
      <w:pPr>
        <w:pStyle w:val="ListBullet"/>
      </w:pPr>
      <w:r>
        <w:t>Variação de ~9.168 a ~9.786 kcal/m³ (amplitude de ~618 kcal/m³)</w:t>
      </w:r>
    </w:p>
    <w:p>
      <w:pPr>
        <w:pStyle w:val="ListBullet"/>
      </w:pPr>
      <w:r>
        <w:t>As medições de Concessionária e Transportadora são muito próximas (diferenças &lt; 0,01%)</w:t>
      </w:r>
    </w:p>
    <w:p>
      <w:pPr>
        <w:pStyle w:val="ListBullet"/>
      </w:pPr>
      <w:r>
        <w:t>A qualidade do gás (composição) varia ao longo do tempo, afetando o PCS</w:t>
      </w:r>
    </w:p>
    <w:p>
      <w:pPr>
        <w:pStyle w:val="ListBullet"/>
      </w:pPr>
      <w:r>
        <w:t>A média móvel de 30 dias ajuda a identificar tendências de longo prazo</w:t>
      </w:r>
    </w:p>
    <w:p>
      <w:r>
        <w:br w:type="page"/>
      </w:r>
    </w:p>
    <w:p>
      <w:pPr>
        <w:pStyle w:val="Heading2"/>
      </w:pPr>
      <w:r>
        <w:t>A.4 Cálculo e Validação de Energia</w:t>
      </w:r>
    </w:p>
    <w:p>
      <w:r>
        <w:t># Notebook 4: Cálculo de Energia</w:t>
      </w:r>
    </w:p>
    <w:p>
      <w:pPr>
        <w:pStyle w:val="Heading2"/>
      </w:pPr>
      <w:r>
        <w:t>Curso ABAR - Medições Inteligentes e Gestão Integrada</w:t>
      </w:r>
    </w:p>
    <w:p>
      <w:pPr>
        <w:pStyle w:val="Heading3"/>
      </w:pPr>
      <w:r>
        <w:t>Objetivo</w:t>
      </w:r>
    </w:p>
    <w:p>
      <w:r>
        <w:t>Calcular a energia diária do gás a partir dos dados de volume e PCS, e comparar com os valores da planilha.</w:t>
      </w:r>
    </w:p>
    <w:p>
      <w:pPr>
        <w:pStyle w:val="Heading3"/>
      </w:pPr>
      <w:r>
        <w:t>Conceitos-chave</w:t>
      </w:r>
    </w:p>
    <w:p>
      <w:pPr>
        <w:pStyle w:val="ListBullet"/>
      </w:pPr>
      <w:r>
        <w:rPr>
          <w:b/>
        </w:rPr>
        <w:t>Energia = Volume × PCS</w:t>
      </w:r>
    </w:p>
    <w:p>
      <w:pPr>
        <w:pStyle w:val="ListBullet"/>
      </w:pPr>
      <w:r>
        <w:t xml:space="preserve">Energia em </w:t>
      </w:r>
      <w:r>
        <w:rPr>
          <w:b/>
        </w:rPr>
        <w:t>kcal</w:t>
      </w:r>
      <w:r>
        <w:t xml:space="preserve"> (quilocalorias)</w:t>
      </w:r>
    </w:p>
    <w:p>
      <w:pPr>
        <w:pStyle w:val="ListBullet"/>
      </w:pPr>
      <w:r>
        <w:t xml:space="preserve">Volume em </w:t>
      </w:r>
      <w:r>
        <w:rPr>
          <w:b/>
        </w:rPr>
        <w:t>Nm³</w:t>
      </w:r>
      <w:r>
        <w:t xml:space="preserve"> (Normal metros cúbicos)</w:t>
      </w:r>
    </w:p>
    <w:p>
      <w:pPr>
        <w:pStyle w:val="ListBullet"/>
      </w:pPr>
      <w:r>
        <w:t xml:space="preserve">PCS em </w:t>
      </w:r>
      <w:r>
        <w:rPr>
          <w:b/>
        </w:rPr>
        <w:t>kcal/Nm³</w:t>
      </w:r>
    </w:p>
    <w:p>
      <w:pPr>
        <w:pStyle w:val="ListBullet"/>
      </w:pPr>
      <w:r>
        <w:t xml:space="preserve">A comercialização de gás pode ser feita por </w:t>
      </w:r>
      <w:r>
        <w:rPr>
          <w:b/>
        </w:rPr>
        <w:t>volume</w:t>
      </w:r>
      <w:r>
        <w:t xml:space="preserve"> ou por </w:t>
      </w:r>
      <w:r>
        <w:rPr>
          <w:b/>
        </w:rPr>
        <w:t>energia</w:t>
      </w:r>
    </w:p>
    <w:p>
      <w:pPr>
        <w:pStyle w:val="ListBullet"/>
      </w:pPr>
      <w:r>
        <w:t>Variações no PCS fazem com que o mesmo volume de gás contenha quantidades diferentes de energia</w:t>
      </w:r>
    </w:p>
    <w:p>
      <w:pPr>
        <w:pStyle w:val="ListBullet"/>
      </w:pPr>
      <w:r>
        <w:t>A análise de energia é mais precisa para fins comerciais que a análise de volume isolada</w:t>
      </w:r>
    </w:p>
    <w:p>
      <w:pPr>
        <w:spacing w:after="40" w:before="160"/>
      </w:pPr>
      <w:r>
        <w:rPr>
          <w:rFonts w:ascii="Consolas" w:hAnsi="Consolas"/>
          <w:b/>
          <w:color w:val="1A3C6E"/>
          <w:sz w:val="16"/>
        </w:rPr>
        <w:t>In [1]: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import sys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from pathlib import Path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# Configurar caminhos do projeto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PROJECT_ROOT = Path('.').resolve().parent if Path('.').resolve().name == 'notebooks' else Path('.').resolve()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sys.path.insert(0, str(PROJECT_ROOT / 'src'))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from config import DATA_DIR, GRAFICOS_DIR, EXCEL_DEFAULT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EXCEL_PATH = DATA_DIR / EXCEL_DEFAULT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GRAFICOS_DIR.mkdir(parents=True, exist_ok=True)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import pandas as pd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import numpy as np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import matplotlib.pyplot as plt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import matplotlib.dates as mdates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import seaborn as sns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import warnings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warnings.filterwarnings('ignore')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plt.rcParams['figure.figsize'] = (14, 6)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plt.rcParams['font.size'] = 12</w:t>
      </w:r>
    </w:p>
    <w:p>
      <w:r>
        <w:t># Carregar volumes</w:t>
      </w:r>
    </w:p>
    <w:p>
      <w:r>
        <w:t>df_vol = pd.read_excel(ARQUIVO_EXCEL, sheet_name='Vol Entrada Gas', header=1, usecols='B:D')</w:t>
      </w:r>
    </w:p>
    <w:p>
      <w:r>
        <w:t>df_vol.columns = ['Data', 'Vol_Conc_Nm3d', 'Vol_Transp_Nm3d']</w:t>
      </w:r>
    </w:p>
    <w:p>
      <w:r>
        <w:t>df_vol['Data'] = pd.to_datetime(df_vol['Data'], errors='coerce')</w:t>
      </w:r>
    </w:p>
    <w:p>
      <w:r>
        <w:t>df_vol = df_vol.dropna(subset=['Data']).reset_index(drop=True)</w:t>
      </w:r>
    </w:p>
    <w:p>
      <w:r>
        <w:t># Carregar PCS (NOTA: aba tem espaço no final)</w:t>
      </w:r>
    </w:p>
    <w:p>
      <w:r>
        <w:t>df_pcs = pd.read_excel(ARQUIVO_EXCEL, sheet_name='PCS Ent ', header=1, usecols='B:D')</w:t>
      </w:r>
    </w:p>
    <w:p>
      <w:r>
        <w:t>df_pcs.columns = ['Data', 'PCS_Conc', 'PCS_Transp']</w:t>
      </w:r>
    </w:p>
    <w:p>
      <w:r>
        <w:t>df_pcs['Data'] = pd.to_datetime(df_pcs['Data'], errors='coerce')</w:t>
      </w:r>
    </w:p>
    <w:p>
      <w:r>
        <w:t>df_pcs = df_pcs.dropna(subset=['Data']).reset_index(drop=True)</w:t>
      </w:r>
    </w:p>
    <w:p>
      <w:r>
        <w:t># Carregar energia da planilha (para comparação)</w:t>
      </w:r>
    </w:p>
    <w:p>
      <w:r>
        <w:t># NOTA: Coluna B vazia nesta aba, dados começam na C</w:t>
      </w:r>
    </w:p>
    <w:p>
      <w:r>
        <w:t>df_en_plan = pd.read_excel(ARQUIVO_EXCEL, sheet_name='Energia Ent', header=1, usecols='C:J')</w:t>
      </w:r>
    </w:p>
    <w:p>
      <w:r>
        <w:t>df_en_plan.columns = ['Vol_Conc', 'PCS_Conc', 'Energia_Conc_Plan',</w:t>
      </w:r>
    </w:p>
    <w:p>
      <w:r>
        <w:t>'Vol_Transp', 'PCS_Transp', 'Energia_Transp_Plan',</w:t>
      </w:r>
    </w:p>
    <w:p>
      <w:r>
        <w:t>'Dif_Abs_Plan', 'Dif_Pct_Plan']</w:t>
      </w:r>
    </w:p>
    <w:p>
      <w:r>
        <w:t># A coluna de data não está aqui, vamos usar o índice do df_vol</w:t>
      </w:r>
    </w:p>
    <w:p>
      <w:r>
        <w:t>df_en_plan['Data'] = df_vol['Data'].values[:len(df_en_plan)] if len(df_vol) &gt;= len(df_en_plan) else pd.NaT</w:t>
      </w:r>
    </w:p>
    <w:p>
      <w:r>
        <w:t>df_en_plan = df_en_plan.dropna(subset=['Data']).reset_index(drop=True)</w:t>
      </w:r>
    </w:p>
    <w:p>
      <w:r>
        <w:t>print(f'Volumes: {len(df_vol)} dias')</w:t>
      </w:r>
    </w:p>
    <w:p>
      <w:r>
        <w:t>print(f'PCS: {len(df_pcs)} dias')</w:t>
      </w:r>
    </w:p>
    <w:p>
      <w:r>
        <w:t>print(f'Energia (planilha): {len(df_en_plan)} dias')</w:t>
      </w:r>
    </w:p>
    <w:p>
      <w:pPr>
        <w:spacing w:after="40" w:before="160"/>
      </w:pPr>
      <w:r>
        <w:rPr>
          <w:rFonts w:ascii="Consolas" w:hAnsi="Consolas"/>
          <w:b/>
          <w:color w:val="1A3C6E"/>
          <w:sz w:val="16"/>
        </w:rPr>
        <w:t>In [2]: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# Carregar volumes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df_vol = pd.read_excel(EXCEL_PATH, sheet_name='Vol Entrada Gas', header=1, usecols='B:D')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df_vol.columns = ['Data', 'Vol_Conc_Nm3d', 'Vol_Transp_Nm3d']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df_vol['Data'] = pd.to_datetime(df_vol['Data'], errors='coerce')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for col in ['Vol_Conc_Nm3d', 'Vol_Transp_Nm3d']: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df_vol[col] = pd.to_numeric(df_vol[col], errors='coerce')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df_vol = df_vol.dropna(subset=['Data']).reset_index(drop=True)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# Carregar PCS (espaço no final do nome da aba é intencional)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df_pcs = pd.read_excel(EXCEL_PATH, sheet_name='PCS Ent ', header=1, usecols='B:D')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df_pcs.columns = ['Data', 'PCS_Conc', 'PCS_Transp']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df_pcs['Data'] = pd.to_datetime(df_pcs['Data'], errors='coerce')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for col in ['PCS_Conc', 'PCS_Transp']: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df_pcs[col] = pd.to_numeric(df_pcs[col], errors='coerce')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df_pcs = df_pcs.dropna(subset=['Data']).reset_index(drop=True)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# Carregar energia da planilha (para comparação)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# NOTA: Coluna B pode estar vazia na aba Energia Ent, dados começam na C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df_en_plan = pd.read_excel(EXCEL_PATH, sheet_name='Energia Ent', header=1, usecols='C:J')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df_en_plan.columns = ['Vol_Conc', 'PCS_Conc', 'Energia_Conc_Plan', 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                   'Vol_Transp', 'PCS_Transp', 'Energia_Transp_Plan',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                   'Dif_Abs_Plan', 'Dif_Pct_Plan']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for col in df_en_plan.columns: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df_en_plan[col] = pd.to_numeric(df_en_plan[col], errors='coerce')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# Remover linhas sem dados antes de atribuir datas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df_en_plan = df_en_plan.dropna(subset=['Energia_Conc_Plan']).reset_index(drop=True)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# Usar datas do df_vol como referência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df_en_plan['Data'] = df_vol['Data'].values[:len(df_en_plan)]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df_en_plan = df_en_plan.dropna(subset=['Data']).reset_index(drop=True)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print(f'Volumes: {len(df_vol)} dias')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print(f'PCS: {len(df_pcs)} dias')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print(f'Energia (planilha): {len(df_en_plan)} dias')</w:t>
      </w:r>
    </w:p>
    <w:p>
      <w:pPr>
        <w:spacing w:after="40" w:before="80"/>
      </w:pPr>
      <w:r>
        <w:rPr>
          <w:rFonts w:ascii="Consolas" w:hAnsi="Consolas"/>
          <w:b/>
          <w:color w:val="2D5016"/>
          <w:sz w:val="16"/>
        </w:rPr>
        <w:t>Out: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  <w:t>Volumes: 183 dias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  <w:t>PCS: 183 dias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  <w:t>Energia (planilha): 183 dias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</w:r>
    </w:p>
    <w:p>
      <w:pPr>
        <w:pStyle w:val="Heading2"/>
      </w:pPr>
      <w:r>
        <w:t>2. Cálculo da Energia</w:t>
      </w:r>
    </w:p>
    <w:p>
      <w:r>
        <w:t xml:space="preserve">Aplicando a fórmula: </w:t>
      </w:r>
      <w:r>
        <w:rPr>
          <w:b/>
        </w:rPr>
        <w:t>Energia (kcal) = Volume (Nm³) × PCS (kcal/Nm³)</w:t>
      </w:r>
    </w:p>
    <w:p>
      <w:pPr>
        <w:spacing w:after="40" w:before="160"/>
      </w:pPr>
      <w:r>
        <w:rPr>
          <w:rFonts w:ascii="Consolas" w:hAnsi="Consolas"/>
          <w:b/>
          <w:color w:val="1A3C6E"/>
          <w:sz w:val="16"/>
        </w:rPr>
        <w:t>In [3]: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# Merge dos dados por data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df = pd.merge(df_vol, df_pcs, on='Data', how='inner')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# Calcular energia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df['Energia_Conc_Calc'] = df['Vol_Conc_Nm3d'] * df['PCS_Conc']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df['Energia_Transp_Calc'] = df['Vol_Transp_Nm3d'] * df['PCS_Transp']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# Diferenças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df['Dif_Energia_Abs'] = df['Energia_Conc_Calc'] - df['Energia_Transp_Calc']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df['Dif_Energia_Pct'] = (df['Dif_Energia_Abs'] / df['Energia_Conc_Calc']) * 100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# Converter para Gcal (Giga calorias) para facilitar leitura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df['Energia_Conc_Gcal'] = df['Energia_Conc_Calc'] / 1e6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df['Energia_Transp_Gcal'] = df['Energia_Transp_Calc'] / 1e6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print(f'Dias calculados: {len(df)}')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df[['Data', 'Vol_Conc_Nm3d', 'PCS_Conc', 'Energia_Conc_Calc', 'Energia_Conc_Gcal']].head()</w:t>
      </w:r>
    </w:p>
    <w:p>
      <w:pPr>
        <w:spacing w:after="40" w:before="80"/>
      </w:pPr>
      <w:r>
        <w:rPr>
          <w:rFonts w:ascii="Consolas" w:hAnsi="Consolas"/>
          <w:b/>
          <w:color w:val="2D5016"/>
          <w:sz w:val="16"/>
        </w:rPr>
        <w:t>Out: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  <w:t>Dias calculados: 183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</w:r>
    </w:p>
    <w:p>
      <w:pPr>
        <w:spacing w:after="40" w:before="80"/>
      </w:pPr>
      <w:r>
        <w:rPr>
          <w:rFonts w:ascii="Consolas" w:hAnsi="Consolas"/>
          <w:b/>
          <w:color w:val="2D5016"/>
          <w:sz w:val="16"/>
        </w:rPr>
        <w:t>Out: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  <w:t xml:space="preserve">        Data  Vol_Conc_Nm3d   PCS_Conc  Energia_Conc_Calc  Energia_Conc_Gcal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  <w:t>0 2025-04-01   8.394282e+05  9774.6934       8.205153e+09        8205.153164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  <w:t>1 2025-04-02   8.384109e+05  9629.9734       8.073874e+09        8073.874425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  <w:t>2 2025-04-03   8.020914e+05  9668.3980       7.754939e+09        7754.938646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  <w:t>3 2025-04-04   9.871601e+05  9614.4273       9.490979e+09        9490.979255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  <w:t>4 2025-04-05   1.067653e+06  9588.8016       1.023751e+10       10237.509199</w:t>
      </w:r>
    </w:p>
    <w:p>
      <w:pPr>
        <w:pStyle w:val="Heading2"/>
      </w:pPr>
      <w:r>
        <w:t>3. Verificação com Planilha</w:t>
      </w:r>
    </w:p>
    <w:p>
      <w:r>
        <w:t>Vamos comparar os valores que calculamos com os da aba "Energia Ent" para validar.</w:t>
      </w:r>
    </w:p>
    <w:p>
      <w:pPr>
        <w:spacing w:after="40" w:before="160"/>
      </w:pPr>
      <w:r>
        <w:rPr>
          <w:rFonts w:ascii="Consolas" w:hAnsi="Consolas"/>
          <w:b/>
          <w:color w:val="1A3C6E"/>
          <w:sz w:val="16"/>
        </w:rPr>
        <w:t>In [4]: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# Merge para comparação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df_verif = pd.merge(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df[['Data', 'Energia_Conc_Calc']], 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df_en_plan[['Data', 'Energia_Conc_Plan']], 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on='Data', how='inner'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# Calcular diferença entre nosso cálculo e a planilha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df_verif['Dif_Verificacao'] = df_verif['Energia_Conc_Calc'] - df_verif['Energia_Conc_Plan']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df_verif['Dif_Verif_Pct'] = (df_verif['Dif_Verificacao'] / df_verif['Energia_Conc_Plan']) * 100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print('=== Verificação: Nosso Cálculo vs Planilha ===')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print(f'Diferença média: {df_verif["Dif_Verificacao"].mean():,.2f} kcal')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print(f'Diferença percentual média: {df_verif["Dif_Verif_Pct"].mean():.6f}%')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print(f'Diferença máxima: {df_verif["Dif_Verificacao"].abs().max():,.2f} kcal')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print(f'\nSe a diferença é próxima de zero, nosso cálculo está correto!')</w:t>
      </w:r>
    </w:p>
    <w:p>
      <w:pPr>
        <w:spacing w:after="40" w:before="80"/>
      </w:pPr>
      <w:r>
        <w:rPr>
          <w:rFonts w:ascii="Consolas" w:hAnsi="Consolas"/>
          <w:b/>
          <w:color w:val="2D5016"/>
          <w:sz w:val="16"/>
        </w:rPr>
        <w:t>Out: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  <w:t>=== Verificação: Nosso Cálculo vs Planilha ===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  <w:t>Diferença média: 0.00 kcal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  <w:t>Diferença percentual média: 0.000000%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  <w:t>Diferença máxima: 0.00 kcal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  <w:t>Se a diferença é próxima de zero, nosso cálculo está correto!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</w:r>
    </w:p>
    <w:p>
      <w:pPr>
        <w:spacing w:after="40" w:before="160"/>
      </w:pPr>
      <w:r>
        <w:rPr>
          <w:rFonts w:ascii="Consolas" w:hAnsi="Consolas"/>
          <w:b/>
          <w:color w:val="1A3C6E"/>
          <w:sz w:val="16"/>
        </w:rPr>
        <w:t>In [5]: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# Estatísticas de energia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print('=== Estatísticas de Energia ===')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stats = pd.DataFrame({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'Energia Conc (kcal)': df['Energia_Conc_Calc'].agg(['mean', 'min', 'max']),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'Energia Conc (Gcal)': df['Energia_Conc_Gcal'].agg(['mean', 'min', 'max']),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'Energia Transp (Gcal)': df['Energia_Transp_Gcal'].agg(['mean', 'min', 'max'])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})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stats.index = ['Média', 'Mínimo', 'Máximo']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print(stats.to_string())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print(f'\n** Valor esperado: Média ~ 9.536 Gcal/dia **')</w:t>
      </w:r>
    </w:p>
    <w:p>
      <w:pPr>
        <w:spacing w:after="40" w:before="80"/>
      </w:pPr>
      <w:r>
        <w:rPr>
          <w:rFonts w:ascii="Consolas" w:hAnsi="Consolas"/>
          <w:b/>
          <w:color w:val="2D5016"/>
          <w:sz w:val="16"/>
        </w:rPr>
        <w:t>Out: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  <w:t>=== Estatísticas de Energia ===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  <w:t xml:space="preserve">        Energia Conc (kcal)  Energia Conc (Gcal)  Energia Transp (Gcal)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  <w:t>Média          9.536232e+09          9536.231887            9536.227817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  <w:t>Mínimo         4.779246e+09          4779.246288            4779.345390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  <w:t>Máximo         1.173053e+10         11730.525650           11731.137710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  <w:t>** Valor esperado: Média ~ 9.536 Gcal/dia **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</w:r>
    </w:p>
    <w:p>
      <w:pPr>
        <w:pStyle w:val="Heading2"/>
      </w:pPr>
      <w:r>
        <w:t>4. Gráficos</w:t>
      </w:r>
    </w:p>
    <w:p>
      <w:pPr>
        <w:pStyle w:val="Heading3"/>
      </w:pPr>
      <w:r>
        <w:t>4.1 Série Temporal da Energia Diária</w:t>
      </w:r>
    </w:p>
    <w:p>
      <w:pPr>
        <w:spacing w:after="40" w:before="160"/>
      </w:pPr>
      <w:r>
        <w:rPr>
          <w:rFonts w:ascii="Consolas" w:hAnsi="Consolas"/>
          <w:b/>
          <w:color w:val="1A3C6E"/>
          <w:sz w:val="16"/>
        </w:rPr>
        <w:t>In [6]: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fig, ax = plt.subplots(figsize=(16, 6))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ax.plot(df['Data'], df['Energia_Conc_Gcal'], 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    label='Concessionária', color='#9C27B0', linewidth=1.5, alpha=0.9)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ax.plot(df['Data'], df['Energia_Transp_Gcal'], 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    label='Transportadora', color='#FF9800', linewidth=1.5, alpha=0.7, linestyle='--')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media = df['Energia_Conc_Gcal'].mean()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ax.axhline(y=media, color='gray', linestyle=':', alpha=0.5, 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       label=f'Média: {media:,.0f} Gcal/d')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ax.set_title('Energia de Entrada Diária - Concessionária vs Transportadora', 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         fontsize=14, fontweight='bold')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ax.set_xlabel('Data')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ax.set_ylabel('Energia (Gcal/d)')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ax.legend()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ax.grid(True, alpha=0.3)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ax.xaxis.set_major_formatter(mdates.DateFormatter('%b/%Y'))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ax.xaxis.set_major_locator(mdates.MonthLocator())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plt.xticks(rotation=45)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plt.tight_layout()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plt.savefig(str(GRAFICOS_DIR / 'energia_serie.png'), dpi=150, bbox_inches='tight')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plt.show()</w:t>
      </w:r>
    </w:p>
    <w:p>
      <w:pPr>
        <w:spacing w:before="120" w:after="120"/>
        <w:jc w:val="center"/>
      </w:pPr>
      <w:r>
        <w:drawing>
          <wp:inline xmlns:a="http://schemas.openxmlformats.org/drawingml/2006/main" xmlns:pic="http://schemas.openxmlformats.org/drawingml/2006/picture">
            <wp:extent cx="4572000" cy="1685636"/>
            <wp:docPr id="37" name="Picture 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68563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4.2 Diferenças de Energia</w:t>
      </w:r>
    </w:p>
    <w:p>
      <w:pPr>
        <w:spacing w:after="40" w:before="160"/>
      </w:pPr>
      <w:r>
        <w:rPr>
          <w:rFonts w:ascii="Consolas" w:hAnsi="Consolas"/>
          <w:b/>
          <w:color w:val="1A3C6E"/>
          <w:sz w:val="16"/>
        </w:rPr>
        <w:t>In [7]: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fig, ax = plt.subplots(figsize=(16, 5))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ax.bar(df['Data'], df['Dif_Energia_Abs'] / 1e6, color='purple', alpha=0.6, width=1)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ax.axhline(y=0, color='red', linewidth=0.8)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ax.set_title('Diferença de Energia (Concessionária - Transportadora)', fontweight='bold')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ax.set_ylabel('Diferença (Gcal)')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ax.set_xlabel('Data')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ax.grid(True, alpha=0.3)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ax.xaxis.set_major_formatter(mdates.DateFormatter('%b/%Y'))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plt.xticks(rotation=45)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plt.tight_layout()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plt.savefig(str(GRAFICOS_DIR / 'energia_diferencas.png'), dpi=150, bbox_inches='tight')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plt.show()</w:t>
      </w:r>
    </w:p>
    <w:p>
      <w:pPr>
        <w:spacing w:before="120" w:after="120"/>
        <w:jc w:val="center"/>
      </w:pPr>
      <w:r>
        <w:drawing>
          <wp:inline xmlns:a="http://schemas.openxmlformats.org/drawingml/2006/main" xmlns:pic="http://schemas.openxmlformats.org/drawingml/2006/picture">
            <wp:extent cx="4572000" cy="1397000"/>
            <wp:docPr id="38" name="Picture 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397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4.3 Energia Mensal Acumulada</w:t>
      </w:r>
    </w:p>
    <w:p>
      <w:pPr>
        <w:spacing w:after="40" w:before="160"/>
      </w:pPr>
      <w:r>
        <w:rPr>
          <w:rFonts w:ascii="Consolas" w:hAnsi="Consolas"/>
          <w:b/>
          <w:color w:val="1A3C6E"/>
          <w:sz w:val="16"/>
        </w:rPr>
        <w:t>In [8]: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df['Mes'] = df['Data'].dt.to_period('M').astype(str)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# Agrupar por mês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mensal = df.groupby('Mes').agg({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'Energia_Conc_Gcal': 'sum',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'Energia_Transp_Gcal': 'sum'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}).reset_index()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fig, ax = plt.subplots(figsize=(14, 6))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x = np.arange(len(mensal))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width = 0.35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bars1 = ax.bar(x - width/2, mensal['Energia_Conc_Gcal'] / 1000, width, 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           label='Concessionária', color='#9C27B0', alpha=0.8)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bars2 = ax.bar(x + width/2, mensal['Energia_Transp_Gcal'] / 1000, width, 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           label='Transportadora', color='#FF9800', alpha=0.8)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# Rótulos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for bar in bars1: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ax.text(bar.get_x() + bar.get_width()/2, bar.get_height() + 0.5,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        f'{bar.get_height():,.0f}', ha='center', va='bottom', fontsize=9)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ax.set_title('Energia Mensal Acumulada (Tcal = 10³ Gcal)', fontsize=14, fontweight='bold')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ax.set_xlabel('Mês')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ax.set_ylabel('Energia (Tcal)')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ax.set_xticks(x)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ax.set_xticklabels(mensal['Mes'])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ax.legend()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ax.grid(True, alpha=0.3, axis='y')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plt.tight_layout()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plt.savefig(str(GRAFICOS_DIR / 'energia_mensal.png'), dpi=150, bbox_inches='tight')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plt.show()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# Total do período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total_conc = df['Energia_Conc_Gcal'].sum()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total_transp = df['Energia_Transp_Gcal'].sum()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print(f'\nEnergia total Concessionária: {total_conc:,.0f} Gcal ({total_conc/1e6:,.2f} Pcal)')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print(f'Energia total Transportadora: {total_transp:,.0f} Gcal ({total_transp/1e6:,.2f} Pcal)')</w:t>
      </w:r>
    </w:p>
    <w:p>
      <w:pPr>
        <w:spacing w:before="120" w:after="120"/>
        <w:jc w:val="center"/>
      </w:pPr>
      <w:r>
        <w:drawing>
          <wp:inline xmlns:a="http://schemas.openxmlformats.org/drawingml/2006/main" xmlns:pic="http://schemas.openxmlformats.org/drawingml/2006/picture">
            <wp:extent cx="4572000" cy="1925922"/>
            <wp:docPr id="39" name="Picture 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92592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40" w:before="80"/>
      </w:pPr>
      <w:r>
        <w:rPr>
          <w:rFonts w:ascii="Consolas" w:hAnsi="Consolas"/>
          <w:b/>
          <w:color w:val="2D5016"/>
          <w:sz w:val="16"/>
        </w:rPr>
        <w:t>Out: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  <w:t>Energia total Concessionária: 1,745,130 Gcal (1.75 Pcal)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  <w:t>Energia total Transportadora: 1,745,130 Gcal (1.75 Pcal)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</w:r>
    </w:p>
    <w:p>
      <w:pPr>
        <w:pStyle w:val="Heading3"/>
      </w:pPr>
      <w:r>
        <w:t>4.4 Scatter Plot - Volume vs Energia</w:t>
      </w:r>
    </w:p>
    <w:p>
      <w:pPr>
        <w:spacing w:after="40" w:before="160"/>
      </w:pPr>
      <w:r>
        <w:rPr>
          <w:rFonts w:ascii="Consolas" w:hAnsi="Consolas"/>
          <w:b/>
          <w:color w:val="1A3C6E"/>
          <w:sz w:val="16"/>
        </w:rPr>
        <w:t>In [9]: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fig, ax = plt.subplots(figsize=(10, 8))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scatter = ax.scatter(df['Vol_Conc_Nm3d'] / 1000, df['Energia_Conc_Gcal'],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                 c=df['PCS_Conc'], cmap='RdYlGn', alpha=0.7, s=30, edgecolors='gray', linewidth=0.5)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# Linha de tendência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z = np.polyfit(df['Vol_Conc_Nm3d'] / 1000, df['Energia_Conc_Gcal'], 1)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p = np.poly1d(z)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x_trend = np.linspace(df['Vol_Conc_Nm3d'].min() / 1000, df['Vol_Conc_Nm3d'].max() / 1000, 100)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ax.plot(x_trend, p(x_trend), 'r--', linewidth=2, alpha=0.7, label='Tendência Linear')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cbar = plt.colorbar(scatter, ax=ax)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cbar.set_label('PCS (kcal/m³)')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ax.set_title('Relação Volume × Energia (colorido por PCS)', fontsize=14, fontweight='bold')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ax.set_xlabel('Volume (10³ Nm³/d)')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ax.set_ylabel('Energia (Gcal/d)')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ax.legend()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ax.grid(True, alpha=0.3)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# Correlação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corr = df['Vol_Conc_Nm3d'].corr(df['Energia_Conc_Calc'])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ax.text(0.05, 0.95, f'Correlação: {corr:.6f}', transform=ax.transAxes,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    fontsize=12, verticalalignment='top', 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    bbox=dict(boxstyle='round', facecolor='wheat', alpha=0.5))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plt.tight_layout()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plt.savefig(str(GRAFICOS_DIR / 'energia_scatter.png'), dpi=150, bbox_inches='tight')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plt.show()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print(f'A relação é quase perfeitamente linear (r = {corr:.6f})')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print(f'Desvios são causados pela variação do PCS ao longo do tempo.')</w:t>
      </w:r>
    </w:p>
    <w:p>
      <w:pPr>
        <w:spacing w:before="120" w:after="120"/>
        <w:jc w:val="center"/>
      </w:pPr>
      <w:r>
        <w:drawing>
          <wp:inline xmlns:a="http://schemas.openxmlformats.org/drawingml/2006/main" xmlns:pic="http://schemas.openxmlformats.org/drawingml/2006/picture">
            <wp:extent cx="4572000" cy="3726037"/>
            <wp:docPr id="40" name="Picture 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72603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40" w:before="80"/>
      </w:pPr>
      <w:r>
        <w:rPr>
          <w:rFonts w:ascii="Consolas" w:hAnsi="Consolas"/>
          <w:b/>
          <w:color w:val="2D5016"/>
          <w:sz w:val="16"/>
        </w:rPr>
        <w:t>Out: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  <w:t>A relação é quase perfeitamente linear (r = 0.997973)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  <w:t>Desvios são causados pela variação do PCS ao longo do tempo.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</w:r>
    </w:p>
    <w:p>
      <w:pPr>
        <w:pStyle w:val="Heading2"/>
      </w:pPr>
      <w:r>
        <w:t>5. Conclusões</w:t>
      </w:r>
    </w:p>
    <w:p>
      <w:pPr>
        <w:pStyle w:val="Heading3"/>
      </w:pPr>
      <w:r>
        <w:t>Observações:</w:t>
      </w:r>
    </w:p>
    <w:p>
      <w:pPr>
        <w:pStyle w:val="ListBullet"/>
      </w:pPr>
      <w:r>
        <w:rPr>
          <w:b/>
        </w:rPr>
        <w:t>Energia = Volume × PCS</w:t>
      </w:r>
      <w:r>
        <w:t xml:space="preserve"> foi validada - nossos cálculos batem com a planilha</w:t>
      </w:r>
    </w:p>
    <w:p>
      <w:pPr>
        <w:pStyle w:val="ListBullet"/>
      </w:pPr>
      <w:r>
        <w:t xml:space="preserve">Energia média diária: </w:t>
      </w:r>
      <w:r>
        <w:rPr>
          <w:b/>
        </w:rPr>
        <w:t>~9.536 Gcal/dia</w:t>
      </w:r>
    </w:p>
    <w:p>
      <w:pPr>
        <w:pStyle w:val="ListBullet"/>
      </w:pPr>
      <w:r>
        <w:t>A relação volume-energia é quase linear, com variações causadas pelo PCS</w:t>
      </w:r>
    </w:p>
    <w:p>
      <w:pPr>
        <w:pStyle w:val="ListBullet"/>
      </w:pPr>
      <w:r>
        <w:t>Diferenças entre Concessionária e Transportadora são mínimas</w:t>
      </w:r>
    </w:p>
    <w:p>
      <w:pPr>
        <w:pStyle w:val="ListBullet"/>
      </w:pPr>
      <w:r>
        <w:t>A análise por energia captura tanto variações de volume quanto de qualidade do gás</w:t>
      </w:r>
    </w:p>
    <w:p>
      <w:r>
        <w:br w:type="page"/>
      </w:r>
    </w:p>
    <w:p>
      <w:pPr>
        <w:pStyle w:val="Heading2"/>
      </w:pPr>
      <w:r>
        <w:t>A.5 Perfis de Consumo dos Clientes</w:t>
      </w:r>
    </w:p>
    <w:p>
      <w:r>
        <w:t># Notebook 5: Perfis de Consumo dos Clientes</w:t>
      </w:r>
    </w:p>
    <w:p>
      <w:pPr>
        <w:pStyle w:val="Heading2"/>
      </w:pPr>
      <w:r>
        <w:t>Curso ABAR - Medições Inteligentes e Gestão Integrada</w:t>
      </w:r>
    </w:p>
    <w:p>
      <w:pPr>
        <w:pStyle w:val="Heading3"/>
      </w:pPr>
      <w:r>
        <w:t>Objetivo</w:t>
      </w:r>
    </w:p>
    <w:p>
      <w:r>
        <w:t>Analisar os perfis de consumo horário dos 7 clientes do distrito, suas condições operacionais e participação relativa.</w:t>
      </w:r>
    </w:p>
    <w:p>
      <w:pPr>
        <w:pStyle w:val="Heading3"/>
      </w:pPr>
      <w:r>
        <w:t>Conceitos-chave</w:t>
      </w:r>
    </w:p>
    <w:p>
      <w:pPr>
        <w:pStyle w:val="ListBullet"/>
      </w:pPr>
      <w:r>
        <w:t xml:space="preserve">Cada ponto de medição (cliente) possui um </w:t>
      </w:r>
      <w:r>
        <w:rPr>
          <w:b/>
        </w:rPr>
        <w:t>medidor</w:t>
      </w:r>
      <w:r>
        <w:t xml:space="preserve"> que registra volume, pressão e temperatura</w:t>
      </w:r>
    </w:p>
    <w:p>
      <w:pPr>
        <w:pStyle w:val="ListBullet"/>
      </w:pPr>
      <w:r>
        <w:t xml:space="preserve">As </w:t>
      </w:r>
      <w:r>
        <w:rPr>
          <w:b/>
        </w:rPr>
        <w:t>condições operacionais</w:t>
      </w:r>
      <w:r>
        <w:t xml:space="preserve"> (faixas de vazão, pressão e temperatura) devem estar compatíveis com as especificações do medidor</w:t>
      </w:r>
    </w:p>
    <w:p>
      <w:pPr>
        <w:pStyle w:val="ListBullet"/>
      </w:pPr>
      <w:r>
        <w:t xml:space="preserve">O </w:t>
      </w:r>
      <w:r>
        <w:rPr>
          <w:b/>
        </w:rPr>
        <w:t>perfil de consumo</w:t>
      </w:r>
      <w:r>
        <w:t xml:space="preserve"> revela o padrão de utilização do gás (contínuo, variável, cíclico)</w:t>
      </w:r>
    </w:p>
    <w:p>
      <w:pPr>
        <w:pStyle w:val="ListBullet"/>
      </w:pPr>
      <w:r>
        <w:t xml:space="preserve">O </w:t>
      </w:r>
      <w:r>
        <w:rPr>
          <w:b/>
        </w:rPr>
        <w:t>fator de carga</w:t>
      </w:r>
      <w:r>
        <w:t xml:space="preserve"> (média/máximo) indica quão constante é o consumo</w:t>
      </w:r>
    </w:p>
    <w:p>
      <w:pPr>
        <w:spacing w:after="40" w:before="160"/>
      </w:pPr>
      <w:r>
        <w:rPr>
          <w:rFonts w:ascii="Consolas" w:hAnsi="Consolas"/>
          <w:b/>
          <w:color w:val="1A3C6E"/>
          <w:sz w:val="16"/>
        </w:rPr>
        <w:t>In [1]: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import sys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from pathlib import Path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# Configurar caminhos do projeto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PROJECT_ROOT = Path('.').resolve().parent if Path('.').resolve().name == 'notebooks' else Path('.').resolve()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sys.path.insert(0, str(PROJECT_ROOT / 'src'))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from config import DATA_DIR, GRAFICOS_DIR, EXCEL_DEFAULT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EXCEL_PATH = DATA_DIR / EXCEL_DEFAULT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GRAFICOS_DIR.mkdir(parents=True, exist_ok=True)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import pandas as pd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import numpy as np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import matplotlib.pyplot as plt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import matplotlib.dates as mdates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import seaborn as sns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import warnings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warnings.filterwarnings('ignore')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plt.rcParams['figure.figsize'] = (14, 6)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plt.rcParams['font.size'] = 11</w:t>
      </w:r>
    </w:p>
    <w:p>
      <w:pPr>
        <w:pStyle w:val="Heading2"/>
      </w:pPr>
      <w:r>
        <w:t>1. Carregamento dos Dados de Todos os Clientes</w:t>
      </w:r>
    </w:p>
    <w:p>
      <w:pPr>
        <w:spacing w:after="40" w:before="160"/>
      </w:pPr>
      <w:r>
        <w:rPr>
          <w:rFonts w:ascii="Consolas" w:hAnsi="Consolas"/>
          <w:b/>
          <w:color w:val="1A3C6E"/>
          <w:sz w:val="16"/>
        </w:rPr>
        <w:t>In [2]: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# Mapeamento de clientes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CLIENTES = {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'Cliente #1': 'Empresa A',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'Cliente #2': 'Empresa B',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'Cliente #3': 'Empresa C',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'Cliente #4': 'Empresa D',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'Cliente #5': 'Empresa E',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'Cliente #6': 'Empresa F',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'Cliente #7': 'Empresa G'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}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# Volumes de referência da Planilha1 (para clientes sem dados horários)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VOLUMES_REFERENCIA = {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'Empresa D': 88184  # Nm³ total no período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}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# Carregar todos os clientes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dados_clientes = {}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for aba, nome in CLIENTES.items():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df = pd.read_excel(EXCEL_PATH, sheet_name=aba, header=2, usecols='B:E')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df.columns = ['Data', 'Volume_Nm3h', 'Pressao_bara', 'Temperatura_C']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df['Data'] = pd.to_datetime(df['Data'], errors='coerce')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# Converter numéricas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for col in ['Volume_Nm3h', 'Pressao_bara', 'Temperatura_C']: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    df[col] = pd.to_numeric(df[col], errors='coerce')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df = df.dropna(subset=['Data']).reset_index(drop=True)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sem_dados = len(df) == 0 or df['Volume_Nm3h'].dropna().empty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dados_clientes[aba] = {'nome': nome, 'dados': df, 'sem_dados': sem_dados}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if sem_dados: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    vol_ref = VOLUMES_REFERENCIA.get(nome, 0)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    print(f'{nome:.&lt;30} SEM DADOS HORÁRIOS | '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          f'Volume de referência (Planilha1): {vol_ref:,.0f} Nm³')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else: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    print(f'{nome:.&lt;30} {len(df):&gt;6} registros | '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          f'Vol: {df["Volume_Nm3h"].mean():&gt;10,.0f} Nm³/h (média)')</w:t>
      </w:r>
    </w:p>
    <w:p>
      <w:pPr>
        <w:spacing w:after="40" w:before="80"/>
      </w:pPr>
      <w:r>
        <w:rPr>
          <w:rFonts w:ascii="Consolas" w:hAnsi="Consolas"/>
          <w:b/>
          <w:color w:val="2D5016"/>
          <w:sz w:val="16"/>
        </w:rPr>
        <w:t>Out: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  <w:t>Empresa A...................   4344 registros | Vol:     23,965 Nm³/h (média)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  <w:t>Empresa B...........   4344 registros | Vol:     10,052 Nm³/h (média)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</w:r>
    </w:p>
    <w:p>
      <w:pPr>
        <w:spacing w:after="40" w:before="80"/>
      </w:pPr>
      <w:r>
        <w:rPr>
          <w:rFonts w:ascii="Consolas" w:hAnsi="Consolas"/>
          <w:b/>
          <w:color w:val="2D5016"/>
          <w:sz w:val="16"/>
        </w:rPr>
        <w:t>Out: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  <w:t>Empresa C.............   4367 registros | Vol:      1,567 Nm³/h (média)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</w:r>
    </w:p>
    <w:p>
      <w:pPr>
        <w:spacing w:after="40" w:before="80"/>
      </w:pPr>
      <w:r>
        <w:rPr>
          <w:rFonts w:ascii="Consolas" w:hAnsi="Consolas"/>
          <w:b/>
          <w:color w:val="2D5016"/>
          <w:sz w:val="16"/>
        </w:rPr>
        <w:t>Out: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  <w:t>Empresa D....................   4344 registros | Vol:         47 Nm³/h (média)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</w:r>
    </w:p>
    <w:p>
      <w:pPr>
        <w:spacing w:after="40" w:before="80"/>
      </w:pPr>
      <w:r>
        <w:rPr>
          <w:rFonts w:ascii="Consolas" w:hAnsi="Consolas"/>
          <w:b/>
          <w:color w:val="2D5016"/>
          <w:sz w:val="16"/>
        </w:rPr>
        <w:t>Out: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  <w:t>Empresa E..........   4344 registros | Vol:      2,345 Nm³/h (média)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</w:r>
    </w:p>
    <w:p>
      <w:pPr>
        <w:spacing w:after="40" w:before="80"/>
      </w:pPr>
      <w:r>
        <w:rPr>
          <w:rFonts w:ascii="Consolas" w:hAnsi="Consolas"/>
          <w:b/>
          <w:color w:val="2D5016"/>
          <w:sz w:val="16"/>
        </w:rPr>
        <w:t>Out: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  <w:t>Empresa F...................   4344 registros | Vol:      1,372 Nm³/h (média)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</w:r>
    </w:p>
    <w:p>
      <w:pPr>
        <w:spacing w:after="40" w:before="80"/>
      </w:pPr>
      <w:r>
        <w:rPr>
          <w:rFonts w:ascii="Consolas" w:hAnsi="Consolas"/>
          <w:b/>
          <w:color w:val="2D5016"/>
          <w:sz w:val="16"/>
        </w:rPr>
        <w:t>Out: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  <w:t>Empresa G..................   4344 registros | Vol:      2,321 Nm³/h (média)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</w:r>
    </w:p>
    <w:p>
      <w:pPr>
        <w:pStyle w:val="Heading2"/>
      </w:pPr>
      <w:r>
        <w:t>2. Tabela Resumo - Condições Operacionais</w:t>
      </w:r>
    </w:p>
    <w:p>
      <w:pPr>
        <w:spacing w:after="40" w:before="160"/>
      </w:pPr>
      <w:r>
        <w:rPr>
          <w:rFonts w:ascii="Consolas" w:hAnsi="Consolas"/>
          <w:b/>
          <w:color w:val="1A3C6E"/>
          <w:sz w:val="16"/>
        </w:rPr>
        <w:t>In [3]: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# Construir tabela resumo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resumo = []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for aba, info in dados_clientes.items():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df = info['dados']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nome = info['nome']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if info['sem_dados']: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    vol_ref = VOLUMES_REFERENCIA.get(nome, 0)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    resumo.append({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        'Cliente': nome + ' *',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        'Vol Mín (Nm³/h)': np.nan,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        'Vol Méd (Nm³/h)': np.nan,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        'Vol Máx (Nm³/h)': np.nan,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        'Vol Total (Mm³)': vol_ref / 1e6,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        'Press Méd (bara)': np.nan,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        'Press Máx (bara)': np.nan,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        'Temp Méd (°C)': np.nan,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        'Temp Máx (°C)': np.nan,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        'Fator Carga': np.nan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    })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    continue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vol = df['Volume_Nm3h']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pres = df['Pressao_bara']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temp = df['Temperatura_C']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resumo.append({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    'Cliente': nome,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    'Vol Mín (Nm³/h)': vol.min(),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    'Vol Méd (Nm³/h)': vol.mean(),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    'Vol Máx (Nm³/h)': vol.max(),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    'Vol Total (Mm³)': vol.sum() / 1e6,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    'Press Méd (bara)': pres.mean(),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    'Press Máx (bara)': pres.max(),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    'Temp Méd (°C)': temp.mean(),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    'Temp Máx (°C)': temp.max(),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    'Fator Carga': vol.mean() / vol.max() if vol.max() &gt; 0 else 0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})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df_resumo = pd.DataFrame(resumo)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df_resumo = df_resumo.sort_values('Vol Total (Mm³)', ascending=False).reset_index(drop=True)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print('* = Volume de referência da Planilha1 (sem dados horários disponíveis)')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df_resumo</w:t>
      </w:r>
    </w:p>
    <w:p>
      <w:pPr>
        <w:spacing w:after="40" w:before="80"/>
      </w:pPr>
      <w:r>
        <w:rPr>
          <w:rFonts w:ascii="Consolas" w:hAnsi="Consolas"/>
          <w:b/>
          <w:color w:val="2D5016"/>
          <w:sz w:val="16"/>
        </w:rPr>
        <w:t>Out: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  <w:t>* = Volume de referência da Planilha1 (sem dados horários disponíveis)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</w:r>
    </w:p>
    <w:p>
      <w:pPr>
        <w:spacing w:after="40" w:before="80"/>
      </w:pPr>
      <w:r>
        <w:rPr>
          <w:rFonts w:ascii="Consolas" w:hAnsi="Consolas"/>
          <w:b/>
          <w:color w:val="2D5016"/>
          <w:sz w:val="16"/>
        </w:rPr>
        <w:t>Out: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  <w:t xml:space="preserve">                Cliente  Vol Mín (Nm³/h)  Vol Méd (Nm³/h)  Vol Máx (Nm³/h)  \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  <w:t xml:space="preserve">0           Empresa A           1359.0     23965.136510          31245.0   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  <w:t xml:space="preserve">1   Empresa B            178.0     10051.674724          17113.0   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  <w:t xml:space="preserve">2  Empresa E            300.0      2344.531538           4244.0   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  <w:t xml:space="preserve">3          Empresa G            418.0      2320.884899           7085.0   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  <w:t xml:space="preserve">4     Empresa C              0.0      1566.692695           4959.0   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  <w:t xml:space="preserve">5           Empresa F              0.0      1371.526703           3509.0   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  <w:t xml:space="preserve">6            Empresa D              0.0        47.385277            187.0   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  <w:t xml:space="preserve">   Vol Total (Mm³)  Press Méd (bara)  Press Máx (bara)  Temp Méd (°C)  \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  <w:t xml:space="preserve">0       104.104553         15.472541             17.68      23.489390   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  <w:t xml:space="preserve">1        43.664475         15.957836             17.62      23.413527   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  <w:t xml:space="preserve">2        10.184645          4.925134              5.08      16.698080   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  <w:t xml:space="preserve">3        10.081924          7.335753             10.67      18.522756   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  <w:t xml:space="preserve">4         6.841747          5.150195              5.68      17.836618   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  <w:t xml:space="preserve">5         5.957912          7.545279              8.03      20.490311   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  <w:t xml:space="preserve">6         0.088184         18.571698             18.87      23.639398   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  <w:t xml:space="preserve">   Temp Máx (°C)  Fator Carga  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  <w:t xml:space="preserve">0          26.80     0.767007  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  <w:t xml:space="preserve">1          29.38     0.587371  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  <w:t xml:space="preserve">2          21.85     0.552434  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  <w:t xml:space="preserve">3          24.92     0.327577  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  <w:t xml:space="preserve">4          25.02     0.315929  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  <w:t xml:space="preserve">5          35.95     0.390860  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  <w:t xml:space="preserve">6          37.09     0.253397  </w:t>
      </w:r>
    </w:p>
    <w:p>
      <w:pPr>
        <w:pStyle w:val="Heading2"/>
      </w:pPr>
      <w:r>
        <w:t>3. Gráficos</w:t>
      </w:r>
    </w:p>
    <w:p>
      <w:pPr>
        <w:pStyle w:val="Heading3"/>
      </w:pPr>
      <w:r>
        <w:t>3.1 Séries Temporais de Volume por Cliente</w:t>
      </w:r>
    </w:p>
    <w:p>
      <w:pPr>
        <w:spacing w:after="40" w:before="160"/>
      </w:pPr>
      <w:r>
        <w:rPr>
          <w:rFonts w:ascii="Consolas" w:hAnsi="Consolas"/>
          <w:b/>
          <w:color w:val="1A3C6E"/>
          <w:sz w:val="16"/>
        </w:rPr>
        <w:t>In [4]: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fig, axes = plt.subplots(4, 2, figsize=(18, 20))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axes = axes.flatten()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cores = plt.cm.Set2(np.linspace(0, 1, 7))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plot_idx = 0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for aba, info in dados_clientes.items():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ax = axes[plot_idx]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if info['sem_dados']: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    vol_ref = VOLUMES_REFERENCIA.get(info['nome'], 0)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    ax.text(0.5, 0.5, f'{info["nome"]}\nSem dados horários\nVol. referência: {vol_ref:,.0f} Nm³',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            ha='center', va='center', fontsize=12, transform=ax.transAxes,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            bbox=dict(boxstyle='round', facecolor='lightyellow'))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    ax.set_title(f'{info["nome"]} (sem dados)', fontweight='bold', fontsize=11)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    plot_idx += 1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    continue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df = info['dados']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nome = info['nome']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ax.plot(df['Data'], df['Volume_Nm3h'], color=cores[plot_idx], alpha=0.5, linewidth=0.3)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# Média móvel diária (24h)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mm = df['Volume_Nm3h'].rolling(window=24, center=True).mean()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ax.plot(df['Data'], mm, color='red', alpha=0.8, linewidth=1, label='MM 24h')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vol_total = df['Volume_Nm3h'].sum() / 1e6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ax.set_title(f'{nome} ({vol_total:.1f} Mm³)', fontweight='bold', fontsize=11)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ax.set_ylabel('Nm³/h')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ax.grid(True, alpha=0.3)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ax.legend(fontsize=8)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ax.xaxis.set_major_formatter(mdates.DateFormatter('%b'))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plot_idx += 1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# Esconder o último subplot vazio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axes[-1].set_visible(False)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fig.suptitle('Séries Temporais de Volume por Cliente (horário)', 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         fontsize=16, fontweight='bold', y=1.01)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plt.tight_layout()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plt.savefig(str(GRAFICOS_DIR / 'clientes_serie.png'), dpi=150, bbox_inches='tight')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plt.show()</w:t>
      </w:r>
    </w:p>
    <w:p>
      <w:pPr>
        <w:spacing w:before="120" w:after="120"/>
        <w:jc w:val="center"/>
      </w:pPr>
      <w:r>
        <w:drawing>
          <wp:inline xmlns:a="http://schemas.openxmlformats.org/drawingml/2006/main" xmlns:pic="http://schemas.openxmlformats.org/drawingml/2006/picture">
            <wp:extent cx="4572000" cy="5175801"/>
            <wp:docPr id="41" name="Picture 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517580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3.2 Perfil Horário Médio (média por hora do dia)</w:t>
      </w:r>
    </w:p>
    <w:p>
      <w:pPr>
        <w:spacing w:after="40" w:before="160"/>
      </w:pPr>
      <w:r>
        <w:rPr>
          <w:rFonts w:ascii="Consolas" w:hAnsi="Consolas"/>
          <w:b/>
          <w:color w:val="1A3C6E"/>
          <w:sz w:val="16"/>
        </w:rPr>
        <w:t>In [5]: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fig, axes = plt.subplots(2, 4, figsize=(20, 10))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axes = axes.flatten()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plot_idx = 0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for aba, info in dados_clientes.items():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ax = axes[plot_idx]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if info['sem_dados']: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    ax.text(0.5, 0.5, 'Sem dados', ha='center', va='center', fontsize=12,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            transform=ax.transAxes)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    ax.set_title(info['nome'] + ' *', fontweight='bold', fontsize=10)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    plot_idx += 1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    continue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df = info['dados'].copy()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nome = info['nome']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df['Hora'] = df['Data'].dt.hour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perfil = df.groupby('Hora')['Volume_Nm3h'].agg(['mean', 'std'])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ax.fill_between(perfil.index, 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                perfil['mean'] - perfil['std'], 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                perfil['mean'] + perfil['std'], 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                alpha=0.2, color=cores[plot_idx])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ax.plot(perfil.index, perfil['mean'], color=cores[plot_idx], linewidth=2, marker='o', markersize=3)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ax.set_title(nome, fontweight='bold', fontsize=10)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ax.set_xlabel('Hora do dia')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ax.set_ylabel('Vol médio (Nm³/h)')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ax.set_xticks(range(0, 24, 4))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ax.grid(True, alpha=0.3)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plot_idx += 1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axes[-1].set_visible(False)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fig.suptitle('Perfil Horário Médio por Cliente (faixa = ±1 desvio padrão)', 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         fontsize=14, fontweight='bold')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plt.tight_layout()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plt.savefig(str(GRAFICOS_DIR / 'clientes_perfil_horario.png'), dpi=150, bbox_inches='tight')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plt.show()</w:t>
      </w:r>
    </w:p>
    <w:p>
      <w:pPr>
        <w:spacing w:before="120" w:after="120"/>
        <w:jc w:val="center"/>
      </w:pPr>
      <w:r>
        <w:drawing>
          <wp:inline xmlns:a="http://schemas.openxmlformats.org/drawingml/2006/main" xmlns:pic="http://schemas.openxmlformats.org/drawingml/2006/picture">
            <wp:extent cx="4572000" cy="2261840"/>
            <wp:docPr id="42" name="Picture 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618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3.3 Heatmap - Volume por Hora × Dia (Empresa A - Maior Consumidor)</w:t>
      </w:r>
    </w:p>
    <w:p>
      <w:pPr>
        <w:spacing w:after="40" w:before="160"/>
      </w:pPr>
      <w:r>
        <w:rPr>
          <w:rFonts w:ascii="Consolas" w:hAnsi="Consolas"/>
          <w:b/>
          <w:color w:val="1A3C6E"/>
          <w:sz w:val="16"/>
        </w:rPr>
        <w:t>In [6]: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# Heatmap para o maior cliente (Empresa A)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df_yara = dados_clientes['Cliente #1']['dados'].copy()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df_yara['Dia'] = df_yara['Data'].dt.date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df_yara['Hora'] = df_yara['Data'].dt.hour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# Pivot table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pivot = df_yara.pivot_table(values='Volume_Nm3h', index='Hora', columns='Dia', aggfunc='mean')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fig, ax = plt.subplots(figsize=(20, 8))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# Mostrar a cada N dias para legibilidade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step = max(1, len(pivot.columns) // 30)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sns.heatmap(pivot, ax=ax, cmap='YlOrRd', 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        xticklabels=step,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        yticklabels=1,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        cbar_kws={'label': 'Volume (Nm³/h)'})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ax.set_title('Empresa A - Mapa de Calor do Consumo (Hora × Dia)', 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         fontsize=14, fontweight='bold')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ax.set_xlabel('Dia')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ax.set_ylabel('Hora do Dia')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plt.xticks(rotation=90, fontsize=7)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plt.tight_layout()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plt.savefig(str(GRAFICOS_DIR / 'clientes_heatmap.png'), dpi=150, bbox_inches='tight')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plt.show()</w:t>
      </w:r>
    </w:p>
    <w:p>
      <w:pPr>
        <w:spacing w:before="120" w:after="120"/>
        <w:jc w:val="center"/>
      </w:pPr>
      <w:r>
        <w:drawing>
          <wp:inline xmlns:a="http://schemas.openxmlformats.org/drawingml/2006/main" xmlns:pic="http://schemas.openxmlformats.org/drawingml/2006/picture">
            <wp:extent cx="4572000" cy="1985410"/>
            <wp:docPr id="43" name="Picture 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9854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3.4 Condições Operacionais - Pressão e Temperatura</w:t>
      </w:r>
    </w:p>
    <w:p>
      <w:pPr>
        <w:spacing w:after="40" w:before="160"/>
      </w:pPr>
      <w:r>
        <w:rPr>
          <w:rFonts w:ascii="Consolas" w:hAnsi="Consolas"/>
          <w:b/>
          <w:color w:val="1A3C6E"/>
          <w:sz w:val="16"/>
        </w:rPr>
        <w:t>In [7]: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fig, axes = plt.subplots(4, 2, figsize=(18, 20))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axes = axes.flatten()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plot_idx = 0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for aba, info in dados_clientes.items():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ax = axes[plot_idx]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if info['sem_dados']: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    ax.text(0.5, 0.5, 'Sem dados', ha='center', va='center', fontsize=12,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            transform=ax.transAxes)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    ax.set_title(info['nome'] + ' *', fontweight='bold', fontsize=10)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    plot_idx += 1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    continue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df = info['dados']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nome = info['nome']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# Pressão no eixo esquerdo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color1 = '#2196F3'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ax.plot(df['Data'], df['Pressao_bara'], color=color1, alpha=0.4, linewidth=0.3)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mm_p = df['Pressao_bara'].rolling(window=24).mean()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ax.plot(df['Data'], mm_p, color=color1, linewidth=1.5, label='Pressão (MM 24h)')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ax.set_ylabel('Pressão (bara)', color=color1)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ax.tick_params(axis='y', labelcolor=color1)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# Temperatura no eixo direito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ax2 = ax.twinx()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color2 = '#F44336'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ax2.plot(df['Data'], df['Temperatura_C'], color=color2, alpha=0.4, linewidth=0.3)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mm_t = df['Temperatura_C'].rolling(window=24).mean()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ax2.plot(df['Data'], mm_t, color=color2, linewidth=1.5, label='Temp (MM 24h)')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ax2.set_ylabel('Temperatura (°C)', color=color2)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ax2.tick_params(axis='y', labelcolor=color2)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ax.set_title(nome, fontweight='bold', fontsize=11)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ax.grid(True, alpha=0.2)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ax.xaxis.set_major_formatter(mdates.DateFormatter('%b'))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# Legenda combinada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lines1, labels1 = ax.get_legend_handles_labels()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lines2, labels2 = ax2.get_legend_handles_labels()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ax.legend(lines1 + lines2, labels1 + labels2, fontsize=7, loc='upper right')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plot_idx += 1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axes[-1].set_visible(False)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fig.suptitle('Condições Operacionais: Pressão e Temperatura por Cliente', 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         fontsize=16, fontweight='bold', y=1.01)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plt.tight_layout()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plt.savefig(str(GRAFICOS_DIR / 'clientes_pressao_temp.png'), dpi=150, bbox_inches='tight')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plt.show()</w:t>
      </w:r>
    </w:p>
    <w:p>
      <w:pPr>
        <w:spacing w:before="120" w:after="120"/>
        <w:jc w:val="center"/>
      </w:pPr>
      <w:r>
        <w:drawing>
          <wp:inline xmlns:a="http://schemas.openxmlformats.org/drawingml/2006/main" xmlns:pic="http://schemas.openxmlformats.org/drawingml/2006/picture">
            <wp:extent cx="4572000" cy="5175801"/>
            <wp:docPr id="44" name="Picture 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517580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3.5 Volume Total por Cliente - Participação no Distrito</w:t>
      </w:r>
    </w:p>
    <w:p>
      <w:pPr>
        <w:spacing w:after="40" w:before="160"/>
      </w:pPr>
      <w:r>
        <w:rPr>
          <w:rFonts w:ascii="Consolas" w:hAnsi="Consolas"/>
          <w:b/>
          <w:color w:val="1A3C6E"/>
          <w:sz w:val="16"/>
        </w:rPr>
        <w:t>In [8]: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# Preparar dados (usando volume de referência para clientes sem dados)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vol_total = {}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for aba, info in dados_clientes.items():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nome = info['nome']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if info['sem_dados']: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    vol_total[nome] = VOLUMES_REFERENCIA.get(nome, 0) / 1e6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else: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    vol_total[nome] = info['dados']['Volume_Nm3h'].sum() / 1e6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nomes = list(vol_total.keys())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volumes = list(vol_total.values())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total = sum(volumes)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pcts = [v / total * 100 for v in volumes]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# Ordenar por volume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ordem = np.argsort(volumes)[::-1]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nomes_ord = [nomes[i] for i in ordem]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volumes_ord = [volumes[i] for i in ordem]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pcts_ord = [pcts[i] for i in ordem]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fig, (ax1, ax2) = plt.subplots(1, 2, figsize=(18, 7))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# Gráfico de barras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cores_bar = plt.cm.Set2(np.linspace(0, 1, len(nomes_ord)))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bars = ax1.barh(nomes_ord[::-1], volumes_ord[::-1], color=cores_bar)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for bar, vol, pct in zip(bars, volumes_ord[::-1], pcts_ord[::-1]):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ax1.text(bar.get_width() + 0.5, bar.get_y() + bar.get_height()/2,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         f'{vol:.1f} Mm³ ({pct:.1f}%)', va='center', fontsize=10)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ax1.set_title('Volume Total por Cliente', fontweight='bold', fontsize=13)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ax1.set_xlabel('Volume (Mm³)')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# Gráfico de pizza/donut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explode = [0.05 if v == max(volumes_ord) else 0 for v in volumes_ord]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wedges, texts, autotexts = ax2.pie(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volumes_ord, labels=nomes_ord, autopct='%1.1f%%',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colors=plt.cm.Set2(np.linspace(0, 1, len(nomes_ord))),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explode=explode, pctdistance=0.75, startangle=90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# Donut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centro = plt.Circle((0, 0), 0.5, fc='white')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ax2.add_patch(centro)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ax2.text(0, 0, f'Total\n{total:.1f} Mm³', ha='center', va='center', 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     fontsize=14, fontweight='bold')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ax2.set_title('Participação no Distrito', fontweight='bold', fontsize=13)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for text in autotexts: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text.set_fontsize(9)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for text in texts: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text.set_fontsize(8)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plt.tight_layout()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plt.savefig(str(GRAFICOS_DIR / 'clientes_participacao.png'), dpi=150, bbox_inches='tight')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plt.show()</w:t>
      </w:r>
    </w:p>
    <w:p>
      <w:pPr>
        <w:spacing w:before="120" w:after="120"/>
        <w:jc w:val="center"/>
      </w:pPr>
      <w:r>
        <w:drawing>
          <wp:inline xmlns:a="http://schemas.openxmlformats.org/drawingml/2006/main" xmlns:pic="http://schemas.openxmlformats.org/drawingml/2006/picture">
            <wp:extent cx="4572000" cy="1782041"/>
            <wp:docPr id="45" name="Picture 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78204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3.6 Boxplots Comparativos de Volume</w:t>
      </w:r>
    </w:p>
    <w:p>
      <w:pPr>
        <w:spacing w:after="40" w:before="160"/>
      </w:pPr>
      <w:r>
        <w:rPr>
          <w:rFonts w:ascii="Consolas" w:hAnsi="Consolas"/>
          <w:b/>
          <w:color w:val="1A3C6E"/>
          <w:sz w:val="16"/>
        </w:rPr>
        <w:t>In [9]: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fig, ax = plt.subplots(figsize=(14, 7))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# Preparar dados para boxplot (excluir clientes sem dados horários)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box_data = []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box_labels = []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box_cores = []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color_idx = 0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for aba, info in dados_clientes.items():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if not info['sem_dados']: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    box_data.append(info['dados']['Volume_Nm3h'].dropna().values)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    box_labels.append(info['nome'])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    box_cores.append(cores[color_idx])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color_idx += 1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bp = ax.boxplot(box_data, labels=box_labels, patch_artist=True, vert=True,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            showfliers=False,  # Esconder outliers para clareza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            boxprops=dict(alpha=0.7),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            medianprops=dict(color='red', linewidth=2))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# Colorir caixas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for patch, color in zip(bp['boxes'], box_cores):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patch.set_facecolor(color)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ax.set_title('Distribuição de Volumes por Cliente (sem outliers)', fontsize=14, fontweight='bold')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ax.set_ylabel('Volume (Nm³/h)')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ax.grid(True, alpha=0.3, axis='y')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plt.xticks(rotation=30, ha='right')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plt.tight_layout()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plt.savefig(str(GRAFICOS_DIR / 'clientes_boxplot.png'), dpi=150, bbox_inches='tight')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plt.show()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print('\nNota: Empresa D excluída do boxplot por não possuir dados horários.')</w:t>
      </w:r>
    </w:p>
    <w:p>
      <w:pPr>
        <w:spacing w:before="120" w:after="120"/>
        <w:jc w:val="center"/>
      </w:pPr>
      <w:r>
        <w:drawing>
          <wp:inline xmlns:a="http://schemas.openxmlformats.org/drawingml/2006/main" xmlns:pic="http://schemas.openxmlformats.org/drawingml/2006/picture">
            <wp:extent cx="4572000" cy="2261278"/>
            <wp:docPr id="46" name="Picture 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6127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40" w:before="80"/>
      </w:pPr>
      <w:r>
        <w:rPr>
          <w:rFonts w:ascii="Consolas" w:hAnsi="Consolas"/>
          <w:b/>
          <w:color w:val="2D5016"/>
          <w:sz w:val="16"/>
        </w:rPr>
        <w:t>Out: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  <w:t>Nota: Empresa D excluída do boxplot por não possuir dados horários.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</w:r>
    </w:p>
    <w:p>
      <w:pPr>
        <w:pStyle w:val="Heading2"/>
      </w:pPr>
      <w:r>
        <w:t>4. Análise do Fator de Carga</w:t>
      </w:r>
    </w:p>
    <w:p>
      <w:pPr>
        <w:spacing w:after="40" w:before="160"/>
      </w:pPr>
      <w:r>
        <w:rPr>
          <w:rFonts w:ascii="Consolas" w:hAnsi="Consolas"/>
          <w:b/>
          <w:color w:val="1A3C6E"/>
          <w:sz w:val="16"/>
        </w:rPr>
        <w:t>In [10]: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print('=== Fator de Carga por Cliente ===')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print('(Fator de Carga = Média / Máximo -&gt; quanto mais próximo de 1, mais constante o consumo)\n')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for _, row in df_resumo.iterrows():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fc = row['Fator Carga']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if pd.isna(fc):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    print(f'{row["Cliente"]:&lt;25} FC = N/D   (sem dados horários)')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else: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    barra = '#' * int(fc * 50)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    print(f'{row["Cliente"]:&lt;25} FC = {fc:.3f} |{barra}')</w:t>
      </w:r>
    </w:p>
    <w:p>
      <w:pPr>
        <w:spacing w:after="40" w:before="80"/>
      </w:pPr>
      <w:r>
        <w:rPr>
          <w:rFonts w:ascii="Consolas" w:hAnsi="Consolas"/>
          <w:b/>
          <w:color w:val="2D5016"/>
          <w:sz w:val="16"/>
        </w:rPr>
        <w:t>Out: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  <w:t>=== Fator de Carga por Cliente ===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  <w:t>(Fator de Carga = Média / Máximo -&gt; quanto mais próximo de 1, mais constante o consumo)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  <w:t>Empresa A               FC = 0.767 |######################################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  <w:t>Empresa B       FC = 0.587 |#############################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  <w:t>Empresa E      FC = 0.552 |###########################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  <w:t>Empresa G              FC = 0.328 |################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  <w:t>Empresa C         FC = 0.316 |###############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  <w:t>Empresa F               FC = 0.391 |###################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  <w:t>Empresa D                FC = 0.253 |############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</w:r>
    </w:p>
    <w:p>
      <w:pPr>
        <w:pStyle w:val="Heading2"/>
      </w:pPr>
      <w:r>
        <w:t>5. Conclusões</w:t>
      </w:r>
    </w:p>
    <w:p>
      <w:pPr>
        <w:pStyle w:val="Heading3"/>
      </w:pPr>
      <w:r>
        <w:t>Observações:</w:t>
      </w:r>
    </w:p>
    <w:p>
      <w:pPr>
        <w:pStyle w:val="ListBullet"/>
      </w:pPr>
      <w:r>
        <w:rPr>
          <w:b/>
        </w:rPr>
        <w:t>Empresa A</w:t>
      </w:r>
      <w:r>
        <w:t xml:space="preserve"> é o maior consumidor (57,5% do distrito), com consumo relativamente estável</w:t>
      </w:r>
    </w:p>
    <w:p>
      <w:pPr>
        <w:pStyle w:val="ListBullet"/>
      </w:pPr>
      <w:r>
        <w:rPr>
          <w:b/>
        </w:rPr>
        <w:t>Empresa B</w:t>
      </w:r>
      <w:r>
        <w:t xml:space="preserve"> é o segundo (24,1%), com mais variabilidade</w:t>
      </w:r>
    </w:p>
    <w:p>
      <w:pPr>
        <w:pStyle w:val="ListBullet"/>
      </w:pPr>
      <w:r>
        <w:rPr>
          <w:b/>
        </w:rPr>
        <w:t>Empresa D</w:t>
      </w:r>
      <w:r>
        <w:t xml:space="preserve"> é o menor (0,05%), praticamente insignificante no balanço</w:t>
      </w:r>
    </w:p>
    <w:p>
      <w:pPr>
        <w:pStyle w:val="ListBullet"/>
      </w:pPr>
      <w:r>
        <w:t>Clientes industriais (#1, #2, #5) têm padrão de consumo mais constante</w:t>
      </w:r>
    </w:p>
    <w:p>
      <w:pPr>
        <w:pStyle w:val="ListBullet"/>
      </w:pPr>
      <w:r>
        <w:t>O fator de carga indica a regularidade do consumo de cada cliente</w:t>
      </w:r>
    </w:p>
    <w:p>
      <w:pPr>
        <w:pStyle w:val="ListBullet"/>
      </w:pPr>
      <w:r>
        <w:t>Condições de pressão e temperatura devem estar nas faixas do medidor instalado</w:t>
      </w:r>
    </w:p>
    <w:p>
      <w:r>
        <w:br w:type="page"/>
      </w:r>
    </w:p>
    <w:p>
      <w:pPr>
        <w:pStyle w:val="Heading2"/>
      </w:pPr>
      <w:r>
        <w:t>A.6 Cálculo de Incertezas de Medição</w:t>
      </w:r>
    </w:p>
    <w:p>
      <w:r>
        <w:t># Notebook 6: Sumário de Medições e Cálculo de Incertezas</w:t>
      </w:r>
    </w:p>
    <w:p>
      <w:pPr>
        <w:pStyle w:val="Heading2"/>
      </w:pPr>
      <w:r>
        <w:t>Curso ABAR - Medições Inteligentes e Gestão Integrada</w:t>
      </w:r>
    </w:p>
    <w:p>
      <w:pPr>
        <w:pStyle w:val="Heading3"/>
      </w:pPr>
      <w:r>
        <w:t>Objetivo</w:t>
      </w:r>
    </w:p>
    <w:p>
      <w:pPr>
        <w:pStyle w:val="ListNumber"/>
      </w:pPr>
      <w:r>
        <w:t>Construir o sumário das condições operacionais do distrito</w:t>
      </w:r>
    </w:p>
    <w:p>
      <w:pPr>
        <w:pStyle w:val="ListNumber"/>
      </w:pPr>
      <w:r>
        <w:t>Calcular incertezas combinadas usando o método RSS</w:t>
      </w:r>
    </w:p>
    <w:p>
      <w:pPr>
        <w:pStyle w:val="Heading3"/>
      </w:pPr>
      <w:r>
        <w:t>Conceitos-chave</w:t>
      </w:r>
    </w:p>
    <w:p>
      <w:r>
        <w:rPr>
          <w:b/>
        </w:rPr>
        <w:t>Incerteza de Medição:</w:t>
      </w:r>
      <w:r>
        <w:t xml:space="preserve"> Parâmetro que caracteriza a dispersão dos valores que podem ser razoavelmente atribuídos ao mensurando.</w:t>
      </w:r>
    </w:p>
    <w:p>
      <w:r>
        <w:rPr>
          <w:b/>
        </w:rPr>
        <w:t>Método RSS (Root Sum of Squares):</w:t>
      </w:r>
      <w:r>
        <w:t xml:space="preserve"> Quando incertezas são independentes, a incerteza combinada é:</w:t>
      </w:r>
    </w:p>
    <w:p>
      <w:pPr>
        <w:jc w:val="center"/>
      </w:pPr>
      <m:oMath>
        <m:sSub>
          <m:e>
            <m:r>
              <m:t>U</m:t>
            </m:r>
          </m:e>
          <m:sub>
            <m:r>
              <m:t>combinada</m:t>
            </m:r>
          </m:sub>
        </m:sSub>
        <m:r>
          <m:t>=</m:t>
        </m:r>
        <m:rad>
          <m:radPr>
            <m:degHide m:val="on"/>
          </m:radPr>
          <m:deg/>
          <m:e>
            <m:sSubSup>
              <m:e>
                <m:r>
                  <m:t>u</m:t>
                </m:r>
              </m:e>
              <m:sub>
                <m:r>
                  <m:t>1</m:t>
                </m:r>
              </m:sub>
              <m:sup>
                <m:r>
                  <m:t>2</m:t>
                </m:r>
              </m:sup>
            </m:sSubSup>
            <m:r>
              <m:t>+</m:t>
            </m:r>
            <m:sSubSup>
              <m:e>
                <m:r>
                  <m:t>u</m:t>
                </m:r>
              </m:e>
              <m:sub>
                <m:r>
                  <m:t>2</m:t>
                </m:r>
              </m:sub>
              <m:sup>
                <m:r>
                  <m:t>2</m:t>
                </m:r>
              </m:sup>
            </m:sSubSup>
            <m:r>
              <m:t>+...+</m:t>
            </m:r>
            <m:sSubSup>
              <m:e>
                <m:r>
                  <m:t>u</m:t>
                </m:r>
              </m:e>
              <m:sub>
                <m:r>
                  <m:t>n</m:t>
                </m:r>
              </m:sub>
              <m:sup>
                <m:r>
                  <m:t>2</m:t>
                </m:r>
              </m:sup>
            </m:sSubSup>
          </m:e>
        </m:rad>
      </m:oMath>
    </w:p>
    <w:p>
      <w:r>
        <w:rPr>
          <w:b/>
        </w:rPr>
        <w:t>Incerteza Expandida:</w:t>
      </w:r>
      <w:r>
        <w:t xml:space="preserve"> Para 95% de confiança (k=2):</w:t>
      </w:r>
    </w:p>
    <w:p>
      <w:pPr>
        <w:jc w:val="center"/>
      </w:pPr>
      <m:oMath>
        <m:sSub>
          <m:e>
            <m:r>
              <m:t>U</m:t>
            </m:r>
          </m:e>
          <m:sub>
            <m:r>
              <m:t>expandida</m:t>
            </m:r>
          </m:sub>
        </m:sSub>
        <m:r>
          <m:t>=k×</m:t>
        </m:r>
        <m:sSub>
          <m:e>
            <m:r>
              <m:t>U</m:t>
            </m:r>
          </m:e>
          <m:sub>
            <m:r>
              <m:t>combinada</m:t>
            </m:r>
          </m:sub>
        </m:sSub>
      </m:oMath>
    </w:p>
    <w:p>
      <w:r>
        <w:rPr>
          <w:b/>
        </w:rPr>
        <w:t>Limites regulamentares:</w:t>
      </w:r>
    </w:p>
    <w:p>
      <w:pPr>
        <w:pStyle w:val="ListBullet"/>
      </w:pPr>
      <w:r>
        <w:t>Medição fiscal: ±1%</w:t>
      </w:r>
    </w:p>
    <w:p>
      <w:pPr>
        <w:pStyle w:val="ListBullet"/>
      </w:pPr>
      <w:r>
        <w:t>Transferência de custódia: ±1%</w:t>
      </w:r>
    </w:p>
    <w:p>
      <w:pPr>
        <w:pStyle w:val="ListBullet"/>
      </w:pPr>
      <w:r>
        <w:t>Apropriação: ±3%</w:t>
      </w:r>
    </w:p>
    <w:p>
      <w:pPr>
        <w:spacing w:after="40" w:before="160"/>
      </w:pPr>
      <w:r>
        <w:rPr>
          <w:rFonts w:ascii="Consolas" w:hAnsi="Consolas"/>
          <w:b/>
          <w:color w:val="1A3C6E"/>
          <w:sz w:val="16"/>
        </w:rPr>
        <w:t>In [1]: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import sys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from pathlib import Path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# Configurar caminhos do projeto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PROJECT_ROOT = Path('.').resolve().parent if Path('.').resolve().name == 'notebooks' else Path('.').resolve()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sys.path.insert(0, str(PROJECT_ROOT / 'src'))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from config import DATA_DIR, GRAFICOS_DIR, EXCEL_DEFAULT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EXCEL_PATH = DATA_DIR / EXCEL_DEFAULT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GRAFICOS_DIR.mkdir(parents=True, exist_ok=True)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import pandas as pd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import numpy as np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import matplotlib.pyplot as plt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import seaborn as sns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import warnings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warnings.filterwarnings('ignore')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plt.rcParams['figure.figsize'] = (14, 6)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plt.rcParams['font.size'] = 12</w:t>
      </w:r>
    </w:p>
    <w:p>
      <w:pPr>
        <w:pStyle w:val="Heading2"/>
      </w:pPr>
      <w:r>
        <w:t>1. Construção do Sumário de Condições Operacionais</w:t>
      </w:r>
    </w:p>
    <w:p>
      <w:r>
        <w:t>Vamos calcular as estatísticas de volume, pressão e temperatura para cada ponto de medição.</w:t>
      </w:r>
    </w:p>
    <w:p>
      <w:pPr>
        <w:spacing w:after="40" w:before="160"/>
      </w:pPr>
      <w:r>
        <w:rPr>
          <w:rFonts w:ascii="Consolas" w:hAnsi="Consolas"/>
          <w:b/>
          <w:color w:val="1A3C6E"/>
          <w:sz w:val="16"/>
        </w:rPr>
        <w:t>In [2]: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# Mapeamento de clientes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CLIENTES = {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'Cliente #1': 'Empresa A',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'Cliente #2': 'Empresa B',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'Cliente #3': 'Empresa C',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'Cliente #4': 'Empresa D',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'Cliente #5': 'Empresa E',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'Cliente #6': 'Empresa F',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'Cliente #7': 'Empresa G'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}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# Volumes de referência (Planilha1) para clientes sem dados horários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VOLUMES_REFERENCIA = {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'Empresa D': 88184  # Nm³ total no período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}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# Carregar dados dos clientes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dados_clientes = {}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for aba, nome in CLIENTES.items():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df = pd.read_excel(EXCEL_PATH, sheet_name=aba, header=2, usecols='B:E')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df.columns = ['Data', 'Volume_Nm3h', 'Pressao_bara', 'Temperatura_C']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df['Data'] = pd.to_datetime(df['Data'], errors='coerce')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for col in ['Volume_Nm3h', 'Pressao_bara', 'Temperatura_C']: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    df[col] = pd.to_numeric(df[col], errors='coerce')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df = df.dropna(subset=['Data']).reset_index(drop=True)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sem_dados = len(df) == 0 or df['Volume_Nm3h'].dropna().empty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dados_clientes[aba] = {'nome': nome, 'dados': df, 'sem_dados': sem_dados}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# Carregar dados de entrada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df_vol_ent = pd.read_excel(EXCEL_PATH, sheet_name='Vol Entrada Gas', header=1, usecols='B:D')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df_vol_ent.columns = ['Data', 'Vol_Conc', 'Vol_Transp']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df_vol_ent['Data'] = pd.to_datetime(df_vol_ent['Data'], errors='coerce')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for col in ['Vol_Conc', 'Vol_Transp']: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df_vol_ent[col] = pd.to_numeric(df_vol_ent[col], errors='coerce')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df_vol_ent = df_vol_ent.dropna(subset=['Data']).reset_index(drop=True)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print('Dados carregados com sucesso!')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for aba, info in dados_clientes.items():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if info['sem_dados']: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    print(f'  AVISO: {info["nome"]} sem dados horários '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          f'(usando vol. referência: {VOLUMES_REFERENCIA.get(info["nome"], 0):,.0f} Nm³)')</w:t>
      </w:r>
    </w:p>
    <w:p>
      <w:pPr>
        <w:spacing w:after="40" w:before="80"/>
      </w:pPr>
      <w:r>
        <w:rPr>
          <w:rFonts w:ascii="Consolas" w:hAnsi="Consolas"/>
          <w:b/>
          <w:color w:val="2D5016"/>
          <w:sz w:val="16"/>
        </w:rPr>
        <w:t>Out: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  <w:t>Dados carregados com sucesso!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</w:r>
    </w:p>
    <w:p>
      <w:pPr>
        <w:spacing w:after="40" w:before="160"/>
      </w:pPr>
      <w:r>
        <w:rPr>
          <w:rFonts w:ascii="Consolas" w:hAnsi="Consolas"/>
          <w:b/>
          <w:color w:val="1A3C6E"/>
          <w:sz w:val="16"/>
        </w:rPr>
        <w:t>In [3]: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# Construir tabela de sumário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sumario = []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# Entrada (converter Nm3/d para Nm3/h dividindo por 24)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vol_ent_h = df_vol_ent['Vol_Conc'] / 24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sumario.append({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'Ponto': 'Entrada (Concessionária)',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'Tipo': 'Entrada',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'Vol Mín (Nm³/h)': vol_ent_h.min(),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'Vol Méd (Nm³/h)': vol_ent_h.mean(),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'Vol Máx (Nm³/h)': vol_ent_h.max(),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'Vol Total (Nm³)': df_vol_ent['Vol_Conc'].sum(),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'Press Méd (bara)': np.nan,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'Press Máx (bara)': np.nan,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'Temp Méd (°C)': np.nan,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'Temp Máx (°C)': np.nan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})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# Saídas (clientes)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for aba, info in dados_clientes.items():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df = info['dados']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if info['sem_dados']: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    vol_ref = VOLUMES_REFERENCIA.get(info['nome'], 0)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    sumario.append({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        'Ponto': info['nome'] + ' *',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        'Tipo': 'Saída',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        'Vol Mín (Nm³/h)': np.nan,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        'Vol Méd (Nm³/h)': np.nan,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        'Vol Máx (Nm³/h)': np.nan,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        'Vol Total (Nm³)': vol_ref,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        'Press Méd (bara)': np.nan,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        'Press Máx (bara)': np.nan,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        'Temp Méd (°C)': np.nan,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        'Temp Máx (°C)': np.nan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    })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else: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    sumario.append({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        'Ponto': info['nome'],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        'Tipo': 'Saída',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        'Vol Mín (Nm³/h)': df['Volume_Nm3h'].min(),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        'Vol Méd (Nm³/h)': df['Volume_Nm3h'].mean(),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        'Vol Máx (Nm³/h)': df['Volume_Nm3h'].max(),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        'Vol Total (Nm³)': df['Volume_Nm3h'].sum(),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        'Press Méd (bara)': df['Pressao_bara'].mean(),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        'Press Máx (bara)': df['Pressao_bara'].max(),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        'Temp Méd (°C)': df['Temperatura_C'].mean(),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        'Temp Máx (°C)': df['Temperatura_C'].max()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    })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df_sumario = pd.DataFrame(sumario)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# Adicionar total de saídas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saidas = df_sumario[df_sumario['Tipo'] == 'Saída']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total_saida = saidas['Vol Total (Nm³)'].sum()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print('=== SUMÁRIO DE CONDIÇÕES OPERACIONAIS DO DISTRITO ===')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print(f'\nPeríodo: Abril a Setembro de 2025')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print(f'* = Volume de referência (Planilha1), sem dados horários\n')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df_sumario[['Ponto', 'Vol Mín (Nm³/h)', 'Vol Méd (Nm³/h)', 'Vol Máx (Nm³/h)', 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        'Vol Total (Nm³)', 'Press Méd (bara)', 'Temp Méd (°C)']]</w:t>
      </w:r>
    </w:p>
    <w:p>
      <w:pPr>
        <w:spacing w:after="40" w:before="80"/>
      </w:pPr>
      <w:r>
        <w:rPr>
          <w:rFonts w:ascii="Consolas" w:hAnsi="Consolas"/>
          <w:b/>
          <w:color w:val="2D5016"/>
          <w:sz w:val="16"/>
        </w:rPr>
        <w:t>Out: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  <w:t>=== SUMÁRIO DE CONDIÇÕES OPERACIONAIS DO DISTRITO ===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  <w:t>Período: Abril a Setembro de 2025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  <w:t>* = Volume de referência (Planilha1), sem dados horários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</w:r>
    </w:p>
    <w:p>
      <w:pPr>
        <w:spacing w:after="40" w:before="80"/>
      </w:pPr>
      <w:r>
        <w:rPr>
          <w:rFonts w:ascii="Consolas" w:hAnsi="Consolas"/>
          <w:b/>
          <w:color w:val="2D5016"/>
          <w:sz w:val="16"/>
        </w:rPr>
        <w:t>Out: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  <w:t xml:space="preserve">                      Ponto  Vol Mín (Nm³/h)  Vol Méd (Nm³/h)  \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  <w:t xml:space="preserve">0  Entrada (Concessionária)     21081.872396     41648.417592   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  <w:t xml:space="preserve">1               Empresa A      1359.000000     23965.136510   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  <w:t xml:space="preserve">2       Empresa B       178.000000     10051.674724   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  <w:t xml:space="preserve">3         Empresa C         0.000000      1566.692695   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  <w:t xml:space="preserve">4                Empresa D         0.000000        47.385277   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  <w:t xml:space="preserve">5      Empresa E       300.000000      2344.531538   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  <w:t xml:space="preserve">6               Empresa F         0.000000      1371.526703   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  <w:t xml:space="preserve">7              Empresa G       418.000000      2320.884899   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  <w:t xml:space="preserve">   Vol Máx (Nm³/h)  Vol Total (Nm³)  Press Méd (bara)  Temp Méd (°C)  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  <w:t xml:space="preserve">0     51702.703125     1.829199e+08               NaN            NaN  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  <w:t xml:space="preserve">1     31245.000000     1.041046e+08         15.472541      23.489390  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  <w:t xml:space="preserve">2     17113.000000     4.366448e+07         15.957836      23.413527  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  <w:t xml:space="preserve">3      4959.000000     6.841747e+06          5.150195      17.836618  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  <w:t xml:space="preserve">4       187.000000     8.818400e+04         18.571698      23.639398  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  <w:t xml:space="preserve">5      4244.000000     1.018464e+07          4.925134      16.698080  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  <w:t xml:space="preserve">6      3509.000000     5.957912e+06          7.545279      20.490311  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  <w:t xml:space="preserve">7      7085.000000     1.008192e+07          7.335753      18.522756  </w:t>
      </w:r>
    </w:p>
    <w:p>
      <w:pPr>
        <w:spacing w:after="40" w:before="160"/>
      </w:pPr>
      <w:r>
        <w:rPr>
          <w:rFonts w:ascii="Consolas" w:hAnsi="Consolas"/>
          <w:b/>
          <w:color w:val="1A3C6E"/>
          <w:sz w:val="16"/>
        </w:rPr>
        <w:t>In [4]: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# Calcular perda do distrito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vol_entrada = df_sumario[df_sumario['Tipo'] == 'Entrada']['Vol Total (Nm³)'].values[0]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vol_saida = saidas['Vol Total (Nm³)'].sum()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diferenca = vol_entrada - vol_saida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diferenca_pct = (diferenca / vol_entrada) * 100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print(f'=== BALANÇO VOLUMÉTRICO ===')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print(f'Volume de Entrada: {vol_entrada:&gt;20,.0f} Nm³')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print(f'Soma das Saídas:   {vol_saida:&gt;20,.0f} Nm³')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print(f'Diferença:         {diferenca:&gt;20,.0f} Nm³')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print(f'Diferença (%):     {diferenca_pct:&gt;20.2f}%')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print(f'\n** Valor esperado da planilha: ~0,64% **')</w:t>
      </w:r>
    </w:p>
    <w:p>
      <w:pPr>
        <w:spacing w:after="40" w:before="80"/>
      </w:pPr>
      <w:r>
        <w:rPr>
          <w:rFonts w:ascii="Consolas" w:hAnsi="Consolas"/>
          <w:b/>
          <w:color w:val="2D5016"/>
          <w:sz w:val="16"/>
        </w:rPr>
        <w:t>Out: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  <w:t>=== BALANÇO VOLUMÉTRICO ===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  <w:t>Volume de Entrada:          182,919,850 Nm³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  <w:t>Soma das Saídas:            180,923,440 Nm³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  <w:t>Diferença:                    1,996,410 Nm³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  <w:t>Diferença (%):                     1.09%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  <w:t>** Valor esperado da planilha: ~0,64% **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</w:r>
    </w:p>
    <w:p>
      <w:pPr>
        <w:pStyle w:val="Heading2"/>
      </w:pPr>
      <w:r>
        <w:t>2. Cálculo de Incertezas</w:t>
      </w:r>
    </w:p>
    <w:p>
      <w:pPr>
        <w:pStyle w:val="Heading3"/>
      </w:pPr>
      <w:r>
        <w:t>Incertezas individuais por ponto de medição</w:t>
      </w:r>
    </w:p>
    <w:p>
      <w:r>
        <w:t>Os valores de incerteza vêm da aba "Incertezas" da planilha, que refletem:</w:t>
      </w:r>
    </w:p>
    <w:p>
      <w:pPr>
        <w:pStyle w:val="ListBullet"/>
      </w:pPr>
      <w:r>
        <w:t>Incerteza do medidor de vazão</w:t>
      </w:r>
    </w:p>
    <w:p>
      <w:pPr>
        <w:pStyle w:val="ListBullet"/>
      </w:pPr>
      <w:r>
        <w:t>Incerteza dos transmissores de pressão e temperatura</w:t>
      </w:r>
    </w:p>
    <w:p>
      <w:pPr>
        <w:pStyle w:val="ListBullet"/>
      </w:pPr>
      <w:r>
        <w:t>Incerteza do fator de compressibilidade</w:t>
      </w:r>
    </w:p>
    <w:p>
      <w:pPr>
        <w:pStyle w:val="ListBullet"/>
      </w:pPr>
      <w:r>
        <w:t>Incerteza da composição (cromatografia)</w:t>
      </w:r>
    </w:p>
    <w:p>
      <w:pPr>
        <w:spacing w:after="40" w:before="160"/>
      </w:pPr>
      <w:r>
        <w:rPr>
          <w:rFonts w:ascii="Consolas" w:hAnsi="Consolas"/>
          <w:b/>
          <w:color w:val="1A3C6E"/>
          <w:sz w:val="16"/>
        </w:rPr>
        <w:t>In [5]: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# Incertezas por ponto de medição (valores da aba "Incertezas", em fração decimal)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# Entrada: Tramo 101 (célula G7) = 0.0106, Tramo 501 (célula G11) = 0.0109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# Fórmula da planilha: =SQRT(G7^2+G11^2)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incertezas = {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'Entrada - Tramo 101 (Comgás 1)': 0.0106,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'Entrada - Tramo 501 (Comgás 2)': 0.0109,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'Empresa A': 0.0133,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'Empresa B': 0.0161,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'Empresa C': 0.0134,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'Empresa D': 0.0358,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'Empresa E': 0.0305,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'Empresa F': 0.0148,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'Empresa G': 0.028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}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print('=== Incertezas Individuais por Ponto de Medição ===')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for ponto, inc in incertezas.items():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print(f'{ponto:&lt;40} {inc*100:.2f}%')</w:t>
      </w:r>
    </w:p>
    <w:p>
      <w:pPr>
        <w:spacing w:after="40" w:before="80"/>
      </w:pPr>
      <w:r>
        <w:rPr>
          <w:rFonts w:ascii="Consolas" w:hAnsi="Consolas"/>
          <w:b/>
          <w:color w:val="2D5016"/>
          <w:sz w:val="16"/>
        </w:rPr>
        <w:t>Out: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  <w:t>=== Incertezas Individuais por Ponto de Medição ===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  <w:t>Entrada - Tramo 101 (Comgás 1)           1.06%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  <w:t>Entrada - Tramo 501 (Comgás 2)           1.09%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  <w:t>Empresa A                              1.33%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  <w:t>Empresa B                      1.61%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  <w:t>Empresa C                        1.34%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  <w:t>Empresa D                               3.58%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  <w:t>Empresa E                     3.05%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  <w:t>Empresa F                              1.48%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  <w:t>Empresa G                             2.80%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</w:r>
    </w:p>
    <w:p>
      <w:pPr>
        <w:pStyle w:val="Heading3"/>
      </w:pPr>
      <w:r>
        <w:t>Cálculo da Incerteza Combinada (RSS)</w:t>
      </w:r>
    </w:p>
    <w:p>
      <w:r>
        <w:t xml:space="preserve">Para pontos de medição </w:t>
      </w:r>
      <w:r>
        <w:rPr>
          <w:b/>
        </w:rPr>
        <w:t>independentes</w:t>
      </w:r>
      <w:r>
        <w:t>, a incerteza combinada é calculada pela raiz da soma dos quadrados:</w:t>
      </w:r>
    </w:p>
    <w:p>
      <w:pPr>
        <w:jc w:val="center"/>
      </w:pPr>
      <m:oMath>
        <m:sSub>
          <m:e>
            <m:r>
              <m:t>U</m:t>
            </m:r>
          </m:e>
          <m:sub>
            <m:r>
              <m:t>combinada</m:t>
            </m:r>
          </m:sub>
        </m:sSub>
        <m:r>
          <m:t>=</m:t>
        </m:r>
        <m:rad>
          <m:radPr>
            <m:degHide m:val="on"/>
          </m:radPr>
          <m:deg/>
          <m:e>
            <m:sSubSup>
              <m:e>
                <m:r>
                  <m:t>u</m:t>
                </m:r>
              </m:e>
              <m:sub>
                <m:r>
                  <m:t>1</m:t>
                </m:r>
              </m:sub>
              <m:sup>
                <m:r>
                  <m:t>2</m:t>
                </m:r>
              </m:sup>
            </m:sSubSup>
            <m:r>
              <m:t>+</m:t>
            </m:r>
            <m:sSubSup>
              <m:e>
                <m:r>
                  <m:t>u</m:t>
                </m:r>
              </m:e>
              <m:sub>
                <m:r>
                  <m:t>2</m:t>
                </m:r>
              </m:sub>
              <m:sup>
                <m:r>
                  <m:t>2</m:t>
                </m:r>
              </m:sup>
            </m:sSubSup>
            <m:r>
              <m:t>+...+</m:t>
            </m:r>
            <m:sSubSup>
              <m:e>
                <m:r>
                  <m:t>u</m:t>
                </m:r>
              </m:e>
              <m:sub>
                <m:r>
                  <m:t>n</m:t>
                </m:r>
              </m:sub>
              <m:sup>
                <m:r>
                  <m:t>2</m:t>
                </m:r>
              </m:sup>
            </m:sSubSup>
          </m:e>
        </m:rad>
      </m:oMath>
    </w:p>
    <w:p>
      <w:pPr>
        <w:spacing w:after="40" w:before="160"/>
      </w:pPr>
      <w:r>
        <w:rPr>
          <w:rFonts w:ascii="Consolas" w:hAnsi="Consolas"/>
          <w:b/>
          <w:color w:val="1A3C6E"/>
          <w:sz w:val="16"/>
        </w:rPr>
        <w:t>In [6]: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# Incerteza combinada da ENTRADA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inc_entrada = [incertezas['Entrada - Tramo 101 (Comgás 1)'], incertezas['Entrada - Tramo 501 (Comgás 2)']]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u_entrada = np.sqrt(np.sum(np.array(inc_entrada)**2))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print('=== INCERTEZA COMBINADA DA ENTRADA (RSS) ===')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print(f'Tramo 101: {inc_entrada[0]*100:.2f}%')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print(f'Tramo 501: {inc_entrada[1]*100:.2f}%')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print(f'Fórmula: sqrt({inc_entrada[0]:.4f}² + {inc_entrada[1]:.4f}²)')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print(f'U_entrada = sqrt({inc_entrada[0]**2:.8f} + {inc_entrada[1]**2:.8f})')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print(f'U_entrada = sqrt({sum(x**2 for x in inc_entrada):.8f})')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print(f'U_entrada = {u_entrada:.4f} = {u_entrada*100:.2f}%')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print(f'\n** Valor esperado: ~1,52% **')</w:t>
      </w:r>
    </w:p>
    <w:p>
      <w:pPr>
        <w:spacing w:after="40" w:before="80"/>
      </w:pPr>
      <w:r>
        <w:rPr>
          <w:rFonts w:ascii="Consolas" w:hAnsi="Consolas"/>
          <w:b/>
          <w:color w:val="2D5016"/>
          <w:sz w:val="16"/>
        </w:rPr>
        <w:t>Out: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  <w:t>=== INCERTEZA COMBINADA DA ENTRADA (RSS) ===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  <w:t>Tramo 101: 1.06%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  <w:t>Tramo 501: 1.09%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  <w:t>Fórmula: sqrt(0.0106² + 0.0109²)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  <w:t>U_entrada = sqrt(0.00011236 + 0.00011881)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  <w:t>U_entrada = sqrt(0.00023117)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  <w:t>U_entrada = 0.0152 = 1.52%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  <w:t>** Valor esperado: ~1,52% **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</w:r>
    </w:p>
    <w:p>
      <w:pPr>
        <w:spacing w:after="40" w:before="160"/>
      </w:pPr>
      <w:r>
        <w:rPr>
          <w:rFonts w:ascii="Consolas" w:hAnsi="Consolas"/>
          <w:b/>
          <w:color w:val="1A3C6E"/>
          <w:sz w:val="16"/>
        </w:rPr>
        <w:t>In [7]: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# Incerteza combinada das SAÍDAS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inc_saidas = [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incertezas['Empresa A'],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incertezas['Empresa B'],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incertezas['Empresa C'],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incertezas['Empresa D'],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incertezas['Empresa E'],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incertezas['Empresa F'],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incertezas['Empresa G']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]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u_saida = np.sqrt(np.sum(np.array(inc_saidas)**2))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print('=== INCERTEZA COMBINADA DAS SAÍDAS (RSS) ===')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print('Fórmula: sqrt(', end='')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for i, inc in enumerate(inc_saidas):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if i &gt; 0: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    print(' + ', end='')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print(f'{inc:.4f}²', end='')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print(')')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print(f'\nU_saída = sqrt({sum(x**2 for x in inc_saidas):.8f})')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print(f'U_saída = {u_saida:.4f} = {u_saida*100:.2f}%')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print(f'\n** Valor esperado: ~6,19% (vazao normal) **')</w:t>
      </w:r>
    </w:p>
    <w:p>
      <w:pPr>
        <w:spacing w:after="40" w:before="80"/>
      </w:pPr>
      <w:r>
        <w:rPr>
          <w:rFonts w:ascii="Consolas" w:hAnsi="Consolas"/>
          <w:b/>
          <w:color w:val="2D5016"/>
          <w:sz w:val="16"/>
        </w:rPr>
        <w:t>Out: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  <w:t>=== INCERTEZA COMBINADA DAS SAÍDAS (RSS) ===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  <w:t>Fórmula: sqrt(0.0133² + 0.0161² + 0.0134² + 0.0358² + 0.0305² + 0.0148² + 0.0280²)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  <w:t>U_saída = sqrt(0.00383059)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  <w:t>U_saída = 0.0619 = 6.19%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  <w:t>** Valor esperado: ~6,19% (vazao normal) **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</w:r>
    </w:p>
    <w:p>
      <w:pPr>
        <w:pStyle w:val="Heading2"/>
      </w:pPr>
      <w:r>
        <w:t>3. Gráficos</w:t>
      </w:r>
    </w:p>
    <w:p>
      <w:pPr>
        <w:pStyle w:val="Heading3"/>
      </w:pPr>
      <w:r>
        <w:t>3.1 Incerteza por Ponto de Medição</w:t>
      </w:r>
    </w:p>
    <w:p>
      <w:pPr>
        <w:spacing w:after="40" w:before="160"/>
      </w:pPr>
      <w:r>
        <w:rPr>
          <w:rFonts w:ascii="Consolas" w:hAnsi="Consolas"/>
          <w:b/>
          <w:color w:val="1A3C6E"/>
          <w:sz w:val="16"/>
        </w:rPr>
        <w:t>In [8]: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fig, ax = plt.subplots(figsize=(12, 7))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pontos = list(incertezas.keys())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valores = [v * 100 for v in incertezas.values()]  # Em percentual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cores = ['#2196F3' if 'Entrada' in p else '#FF9800' for p in pontos]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bars = ax.barh(pontos[::-1], valores[::-1], color=cores[::-1], alpha=0.8, edgecolor='gray')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# Rótulos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for bar, val in zip(bars, valores[::-1]):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ax.text(bar.get_width() + 0.05, bar.get_y() + bar.get_height()/2,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        f'{val:.2f}%', va='center', fontsize=11, fontweight='bold')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# Linha de referência (1% limite fiscal)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ax.axvline(x=1.0, color='red', linestyle='--', alpha=0.7, label='Limite Fiscal (1%)')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ax.axvline(x=3.0, color='orange', linestyle='--', alpha=0.7, label='Limite Apropriação (3%)')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ax.set_title('Incerteza de Medição por Ponto', fontsize=14, fontweight='bold')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ax.set_xlabel('Incerteza (%)')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ax.legend(loc='lower right')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ax.grid(True, alpha=0.3, axis='x')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# Legenda de cores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from matplotlib.patches import Patch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legend_elements = [Patch(facecolor='#2196F3', label='Entrada'),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               Patch(facecolor='#FF9800', label='Saída')]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ax.legend(handles=legend_elements + ax.get_legend_handles_labels()[0][:2], loc='lower right')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plt.tight_layout()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plt.savefig(str(GRAFICOS_DIR / 'incertezas_barras.png'), dpi=150, bbox_inches='tight')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plt.show()</w:t>
      </w:r>
    </w:p>
    <w:p>
      <w:pPr>
        <w:spacing w:before="120" w:after="120"/>
        <w:jc w:val="center"/>
      </w:pPr>
      <w:r>
        <w:drawing>
          <wp:inline xmlns:a="http://schemas.openxmlformats.org/drawingml/2006/main" xmlns:pic="http://schemas.openxmlformats.org/drawingml/2006/picture">
            <wp:extent cx="4572000" cy="2636803"/>
            <wp:docPr id="47" name="Picture 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63680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3.2 Incertezas Combinadas</w:t>
      </w:r>
    </w:p>
    <w:p>
      <w:pPr>
        <w:spacing w:after="40" w:before="160"/>
      </w:pPr>
      <w:r>
        <w:rPr>
          <w:rFonts w:ascii="Consolas" w:hAnsi="Consolas"/>
          <w:b/>
          <w:color w:val="1A3C6E"/>
          <w:sz w:val="16"/>
        </w:rPr>
        <w:t>In [9]: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fig, ax = plt.subplots(figsize=(10, 6))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categorias = ['Entrada\n(combinada)', 'Saídas\n(combinada)']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u_valores = [u_entrada * 100, u_saida * 100]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cores = ['#2196F3', '#FF9800']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bars = ax.bar(categorias, u_valores, color=cores, alpha=0.8, 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          width=0.5, edgecolor='gray', linewidth=1.5)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# Rótulos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for bar, val in zip(bars, u_valores):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ax.text(bar.get_x() + bar.get_width()/2, bar.get_height() + 0.1,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        f'{val:.2f}%', ha='center', va='bottom', fontsize=16, fontweight='bold')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# Referências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ax.axhline(y=1.0, color='red', linestyle='--', alpha=0.5, label='Limite Fiscal (1%)')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ax.set_title('Incerteza Combinada (RSS) - Entrada vs Saídas', fontsize=14, fontweight='bold')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ax.set_ylabel('Incerteza (%)')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ax.legend()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ax.grid(True, alpha=0.3, axis='y')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ax.set_ylim(0, max(u_valores) * 1.3)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plt.tight_layout()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plt.savefig(str(GRAFICOS_DIR / 'incertezas_rss.png'), dpi=150, bbox_inches='tight')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plt.show()</w:t>
      </w:r>
    </w:p>
    <w:p>
      <w:pPr>
        <w:spacing w:before="120" w:after="120"/>
        <w:jc w:val="center"/>
      </w:pPr>
      <w:r>
        <w:drawing>
          <wp:inline xmlns:a="http://schemas.openxmlformats.org/drawingml/2006/main" xmlns:pic="http://schemas.openxmlformats.org/drawingml/2006/picture">
            <wp:extent cx="4572000" cy="2713463"/>
            <wp:docPr id="48" name="Picture 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71346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3.3 Contribuição de Cada Ponto na Incerteza Total das Saídas</w:t>
      </w:r>
    </w:p>
    <w:p>
      <w:pPr>
        <w:spacing w:after="40" w:before="160"/>
      </w:pPr>
      <w:r>
        <w:rPr>
          <w:rFonts w:ascii="Consolas" w:hAnsi="Consolas"/>
          <w:b/>
          <w:color w:val="1A3C6E"/>
          <w:sz w:val="16"/>
        </w:rPr>
        <w:t>In [10]: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# A contribuição de cada componente na incerteza RSS é proporcional a u_i²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nomes_saida = ['Empresa A', 'Empresa B', 'Empresa C', 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           'Empresa D', 'Empresa E', 'Empresa F', 'Empresa G']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contribuicoes = [(inc**2) / sum(x**2 for x in inc_saidas) * 100 for inc in inc_saidas]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fig, (ax1, ax2) = plt.subplots(1, 2, figsize=(16, 6))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# Barras empilhadas horizontais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cores_contrib = plt.cm.Set2(np.linspace(0, 1, len(nomes_saida)))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left = 0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for i, (nome, contrib) in enumerate(zip(nomes_saida, contribuicoes)):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ax1.barh('Incerteza\nSaída', contrib, left=left, color=cores_contrib[i], 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         label=f'{nome} ({contrib:.1f}%)', edgecolor='white')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if contrib &gt; 5: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    ax1.text(left + contrib/2, 0, f'{contrib:.1f}%', ha='center', va='center', fontsize=9)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left += contrib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ax1.set_title('Contribuição na Incerteza (u²/Σu²)', fontweight='bold')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ax1.set_xlabel('Contribuição (%)')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ax1.legend(bbox_to_anchor=(1.02, 1), loc='upper left', fontsize=9)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# Pizza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ax2.pie(contribuicoes, labels=nomes_saida, autopct='%1.1f%%',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    colors=cores_contrib, pctdistance=0.75)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ax2.set_title('Contribuição na Incerteza Total das Saídas', fontweight='bold')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plt.tight_layout()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plt.savefig(str(GRAFICOS_DIR / 'incertezas_contribuicao.png'), dpi=150, bbox_inches='tight')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plt.show()</w:t>
      </w:r>
    </w:p>
    <w:p>
      <w:pPr>
        <w:spacing w:before="120" w:after="120"/>
        <w:jc w:val="center"/>
      </w:pPr>
      <w:r>
        <w:drawing>
          <wp:inline xmlns:a="http://schemas.openxmlformats.org/drawingml/2006/main" xmlns:pic="http://schemas.openxmlformats.org/drawingml/2006/picture">
            <wp:extent cx="4572000" cy="1714867"/>
            <wp:docPr id="49" name="Picture 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71486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4. Conclusões</w:t>
      </w:r>
    </w:p>
    <w:p>
      <w:pPr>
        <w:pStyle w:val="Heading3"/>
      </w:pPr>
      <w:r>
        <w:t>Observações:</w:t>
      </w:r>
    </w:p>
    <w:p>
      <w:pPr>
        <w:pStyle w:val="ListBullet"/>
      </w:pPr>
      <w:r>
        <w:t xml:space="preserve">Incerteza combinada da </w:t>
      </w:r>
      <w:r>
        <w:rPr>
          <w:b/>
        </w:rPr>
        <w:t>entrada: ~1,52%</w:t>
      </w:r>
      <w:r>
        <w:t xml:space="preserve"> (acima do limite fiscal de 1%, mas aceitável para distribuição)</w:t>
      </w:r>
    </w:p>
    <w:p>
      <w:pPr>
        <w:pStyle w:val="ListBullet"/>
      </w:pPr>
      <w:r>
        <w:t xml:space="preserve">Incerteza combinada das </w:t>
      </w:r>
      <w:r>
        <w:rPr>
          <w:b/>
        </w:rPr>
        <w:t>saídas: ~6,19%</w:t>
      </w:r>
      <w:r>
        <w:t xml:space="preserve"> (maior devido à soma de múltiplos pontos)</w:t>
      </w:r>
    </w:p>
    <w:p>
      <w:pPr>
        <w:pStyle w:val="ListBullet"/>
      </w:pPr>
      <w:r>
        <w:rPr>
          <w:b/>
        </w:rPr>
        <w:t>Empresa D</w:t>
      </w:r>
      <w:r>
        <w:t xml:space="preserve"> tem a maior incerteza individual (3,58%) mas contribui pouco no total pelo baixo volume</w:t>
      </w:r>
    </w:p>
    <w:p>
      <w:pPr>
        <w:pStyle w:val="ListBullet"/>
      </w:pPr>
      <w:r>
        <w:t>O método RSS é o padrão metrológico (GUM 2008) para combinar incertezas independentes</w:t>
      </w:r>
    </w:p>
    <w:p>
      <w:pPr>
        <w:pStyle w:val="ListBullet"/>
      </w:pPr>
      <w:r>
        <w:t xml:space="preserve">Estas incertezas definem as </w:t>
      </w:r>
      <w:r>
        <w:rPr>
          <w:b/>
        </w:rPr>
        <w:t>bandas de variação</w:t>
      </w:r>
      <w:r>
        <w:t xml:space="preserve"> usadas no balanço de massa (Notebook 7)</w:t>
      </w:r>
    </w:p>
    <w:p>
      <w:r>
        <w:br w:type="page"/>
      </w:r>
    </w:p>
    <w:p>
      <w:pPr>
        <w:pStyle w:val="Heading2"/>
      </w:pPr>
      <w:r>
        <w:t>A.7 Balanço de Massa com Bandas de Incerteza</w:t>
      </w:r>
    </w:p>
    <w:p>
      <w:r>
        <w:t># Notebook 7: Balanço de Massa com Bandas de Incerteza</w:t>
      </w:r>
    </w:p>
    <w:p>
      <w:pPr>
        <w:pStyle w:val="Heading2"/>
      </w:pPr>
      <w:r>
        <w:t>Curso ABAR - Medições Inteligentes e Gestão Integrada</w:t>
      </w:r>
    </w:p>
    <w:p>
      <w:pPr>
        <w:pStyle w:val="Heading3"/>
      </w:pPr>
      <w:r>
        <w:t>Objetivo</w:t>
      </w:r>
    </w:p>
    <w:p>
      <w:r>
        <w:t>Realizar a análise de balanço de massa do distrito, verificando se a diferença entre entrada e saída está dentro das bandas de incerteza.</w:t>
      </w:r>
    </w:p>
    <w:p>
      <w:pPr>
        <w:pStyle w:val="Heading3"/>
      </w:pPr>
      <w:r>
        <w:t>Conceitos-chave</w:t>
      </w:r>
    </w:p>
    <w:p>
      <w:r>
        <w:rPr>
          <w:b/>
        </w:rPr>
        <w:t>Balanço de massa:</w:t>
      </w:r>
      <w:r>
        <w:t xml:space="preserve"> Em um sistema de distribuição, a massa (ou volume) que entra deve ser igual à que sai, descontadas as perdas.</w:t>
      </w:r>
    </w:p>
    <w:p>
      <w:pPr>
        <w:jc w:val="center"/>
      </w:pPr>
      <m:oMath>
        <m:r>
          <m:rPr>
            <m:nor/>
          </m:rPr>
          <m:t>Diferença (\%)</m:t>
        </m:r>
        <m:r>
          <m:t>=</m:t>
        </m:r>
        <m:f>
          <m:fPr>
            <m:type m:val="bar"/>
          </m:fPr>
          <m:num>
            <m:r>
              <m:rPr>
                <m:nor/>
              </m:rPr>
              <m:t>Entrada</m:t>
            </m:r>
            <m:r>
              <m:t>−∑</m:t>
            </m:r>
            <m:r>
              <m:rPr>
                <m:nor/>
              </m:rPr>
              <m:t>Saídas</m:t>
            </m:r>
          </m:num>
          <m:den>
            <m:r>
              <m:rPr>
                <m:nor/>
              </m:rPr>
              <m:t>Entrada</m:t>
            </m:r>
          </m:den>
        </m:f>
        <m:r>
          <m:t>×100</m:t>
        </m:r>
      </m:oMath>
    </w:p>
    <w:p>
      <w:r>
        <w:rPr>
          <w:b/>
        </w:rPr>
        <w:t>Banda de variação com incerteza:</w:t>
      </w:r>
    </w:p>
    <w:p>
      <w:pPr>
        <w:pStyle w:val="ListBullet"/>
      </w:pPr>
      <m:oMath>
        <m:sSub>
          <m:e>
            <m:r>
              <m:t>V</m:t>
            </m:r>
          </m:e>
          <m:sub>
            <m:r>
              <m:t>min</m:t>
            </m:r>
          </m:sub>
        </m:sSub>
        <m:r>
          <m:t>=</m:t>
        </m:r>
        <m:sSub>
          <m:e>
            <m:r>
              <m:t>V</m:t>
            </m:r>
          </m:e>
          <m:sub>
            <m:r>
              <m:t>medido</m:t>
            </m:r>
          </m:sub>
        </m:sSub>
        <m:r>
          <m:t>×(1−U%)</m:t>
        </m:r>
      </m:oMath>
    </w:p>
    <w:p>
      <w:pPr>
        <w:pStyle w:val="ListBullet"/>
      </w:pPr>
      <m:oMath>
        <m:sSub>
          <m:e>
            <m:r>
              <m:t>V</m:t>
            </m:r>
          </m:e>
          <m:sub>
            <m:r>
              <m:t>max</m:t>
            </m:r>
          </m:sub>
        </m:sSub>
        <m:r>
          <m:t>=</m:t>
        </m:r>
        <m:sSub>
          <m:e>
            <m:r>
              <m:t>V</m:t>
            </m:r>
          </m:e>
          <m:sub>
            <m:r>
              <m:t>medido</m:t>
            </m:r>
          </m:sub>
        </m:sSub>
        <m:r>
          <m:t>×(1+U%)</m:t>
        </m:r>
      </m:oMath>
    </w:p>
    <w:p>
      <w:r>
        <w:rPr>
          <w:b/>
        </w:rPr>
        <w:t>Critério de aceitação:</w:t>
      </w:r>
      <w:r>
        <w:t xml:space="preserve"> Se as bandas de entrada e saída se sobrepõem, o balanço é considerado </w:t>
      </w:r>
      <w:r>
        <w:rPr>
          <w:b/>
        </w:rPr>
        <w:t>aceitável</w:t>
      </w:r>
      <w:r>
        <w:t xml:space="preserve"> (a diferença pode ser explicada pelas incertezas de medição).</w:t>
      </w:r>
    </w:p>
    <w:p>
      <w:pPr>
        <w:spacing w:after="40" w:before="160"/>
      </w:pPr>
      <w:r>
        <w:rPr>
          <w:rFonts w:ascii="Consolas" w:hAnsi="Consolas"/>
          <w:b/>
          <w:color w:val="1A3C6E"/>
          <w:sz w:val="16"/>
        </w:rPr>
        <w:t>In [1]: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import sys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from pathlib import Path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# Configurar caminhos do projeto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PROJECT_ROOT = Path('.').resolve().parent if Path('.').resolve().name == 'notebooks' else Path('.').resolve()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sys.path.insert(0, str(PROJECT_ROOT / 'src'))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from config import DATA_DIR, GRAFICOS_DIR, EXCEL_DEFAULT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EXCEL_PATH = DATA_DIR / EXCEL_DEFAULT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GRAFICOS_DIR.mkdir(parents=True, exist_ok=True)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import pandas as pd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import numpy as np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import matplotlib.pyplot as plt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import matplotlib.patches as mpatches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import warnings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warnings.filterwarnings('ignore')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plt.rcParams['figure.figsize'] = (14, 6)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plt.rcParams['font.size'] = 12</w:t>
      </w:r>
    </w:p>
    <w:p>
      <w:pPr>
        <w:pStyle w:val="Heading2"/>
      </w:pPr>
      <w:r>
        <w:t>1. Carregamento dos Dados e Volumes Totais</w:t>
      </w:r>
    </w:p>
    <w:p>
      <w:pPr>
        <w:spacing w:after="40" w:before="160"/>
      </w:pPr>
      <w:r>
        <w:rPr>
          <w:rFonts w:ascii="Consolas" w:hAnsi="Consolas"/>
          <w:b/>
          <w:color w:val="1A3C6E"/>
          <w:sz w:val="16"/>
        </w:rPr>
        <w:t>In [2]: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# Clientes e seus volumes (carregados das abas)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CLIENTES = {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'Cliente #1': 'Empresa A',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'Cliente #2': 'Empresa B',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'Cliente #3': 'Empresa C',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'Cliente #4': 'Empresa D',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'Cliente #5': 'Empresa E',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'Cliente #6': 'Empresa F',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'Cliente #7': 'Empresa G'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}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# Volume de referência para clientes sem dados horários (da Planilha1)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VOLUMES_REFERENCIA = {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'Empresa D': 88184  # Nm³ total no período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}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# Carregar volume de entrada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df_vol = pd.read_excel(EXCEL_PATH, sheet_name='Vol Entrada Gas', header=1, usecols='B:D')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df_vol.columns = ['Data', 'Vol_Conc', 'Vol_Transp']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df_vol['Data'] = pd.to_datetime(df_vol['Data'], errors='coerce')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for col in ['Vol_Conc', 'Vol_Transp']: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df_vol[col] = pd.to_numeric(df_vol[col], errors='coerce')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df_vol = df_vol.dropna(subset=['Data'])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vol_entrada = df_vol['Vol_Conc'].sum()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# Carregar volumes por cliente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volumes_clientes = {}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for aba, nome in CLIENTES.items():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df = pd.read_excel(EXCEL_PATH, sheet_name=aba, header=2, usecols='B:C')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df.columns = ['Data', 'Volume_Nm3h']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df['Data'] = pd.to_datetime(df['Data'], errors='coerce')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df['Volume_Nm3h'] = pd.to_numeric(df['Volume_Nm3h'], errors='coerce')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df = df.dropna(subset=['Data'])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vol = df['Volume_Nm3h'].sum()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if vol == 0 or pd.isna(vol):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    vol = VOLUMES_REFERENCIA.get(nome, 0)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    print(f'  AVISO: {nome} sem dados horários -&gt; usando referência: {vol:,.0f} Nm³')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volumes_clientes[nome] = vol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vol_saida_total = sum(volumes_clientes.values())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print('=== VOLUMES DO PERÍODO ===')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print(f'Entrada (Concessionária): {vol_entrada:&gt;20,.0f} Nm³')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print(f'\nSaídas:')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for nome, vol in volumes_clientes.items():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pct = vol / vol_saida_total * 100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print(f'  {nome:&lt;25} {vol:&gt;15,.0f} Nm³ ({pct:5.1f}%)')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print(f'  {"-"*25} {"-"*15}')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print(f'  {"TOTAL SAÍDAS":&lt;25} {vol_saida_total:&gt;15,.0f} Nm³')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diferenca = vol_entrada - vol_saida_total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diferenca_pct = (diferenca / vol_entrada) * 100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print(f'\nDiferença: {diferenca:&gt;20,.0f} Nm³ ({diferenca_pct:.2f}%)')</w:t>
      </w:r>
    </w:p>
    <w:p>
      <w:pPr>
        <w:spacing w:after="40" w:before="80"/>
      </w:pPr>
      <w:r>
        <w:rPr>
          <w:rFonts w:ascii="Consolas" w:hAnsi="Consolas"/>
          <w:b/>
          <w:color w:val="2D5016"/>
          <w:sz w:val="16"/>
        </w:rPr>
        <w:t>Out: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  <w:t>=== VOLUMES DO PERÍODO ===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  <w:t>Entrada (Concessionária):          182,919,850 Nm³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  <w:t>Saídas: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  <w:t xml:space="preserve">  Empresa A                   104,104,553 Nm³ ( 57.5%)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  <w:t xml:space="preserve">  Empresa B            43,664,475 Nm³ ( 24.1%)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  <w:t xml:space="preserve">  Empresa C               6,841,747 Nm³ (  3.8%)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  <w:t xml:space="preserve">  Empresa D                         88,184 Nm³ (  0.0%)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  <w:t xml:space="preserve">  Empresa E           10,184,645 Nm³ (  5.6%)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  <w:t xml:space="preserve">  Empresa F                     5,957,912 Nm³ (  3.3%)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  <w:t xml:space="preserve">  Empresa G                   10,081,924 Nm³ (  5.6%)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  <w:t xml:space="preserve">  ------------------------- ---------------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  <w:t xml:space="preserve">  TOTAL SAÍDAS                  180,923,440 Nm³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  <w:t>Diferença:            1,996,410 Nm³ (1.09%)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</w:r>
    </w:p>
    <w:p>
      <w:pPr>
        <w:pStyle w:val="Heading2"/>
      </w:pPr>
      <w:r>
        <w:t>2. Incertezas e Bandas de Variação</w:t>
      </w:r>
    </w:p>
    <w:p>
      <w:r>
        <w:t>Usando os valores de incerteza calculados no Notebook 6.</w:t>
      </w:r>
    </w:p>
    <w:p>
      <w:pPr>
        <w:spacing w:after="40" w:before="160"/>
      </w:pPr>
      <w:r>
        <w:rPr>
          <w:rFonts w:ascii="Consolas" w:hAnsi="Consolas"/>
          <w:b/>
          <w:color w:val="1A3C6E"/>
          <w:sz w:val="16"/>
        </w:rPr>
        <w:t>In [3]: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# Incertezas por ponto (valores de vazão normal, da aba Incertezas)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incertezas_clientes = {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'Empresa A': 0.0133,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'Empresa B': 0.0161,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'Empresa C': 0.0134,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'Empresa D': 0.0358,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'Empresa E': 0.0305,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'Empresa F': 0.0148,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'Empresa G': 0.028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}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# Incerteza combinada da entrada (RSS de 2 tramos)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# Tramo 101: 0.0106, Tramo 501: 0.0109 (aba Incertezas, fórmula =SQRT(G7^2+G11^2))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u_entrada = np.sqrt(0.0106**2 + 0.0109**2)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# Incerteza combinada das saídas (RSS de todos os clientes)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u_saida = np.sqrt(sum(v**2 for v in incertezas_clientes.values()))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print(f'Incerteza combinada da entrada: {u_entrada*100:.2f}%')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print(f'Incerteza combinada das saídas: {u_saida*100:.2f}%')</w:t>
      </w:r>
    </w:p>
    <w:p>
      <w:pPr>
        <w:spacing w:after="40" w:before="80"/>
      </w:pPr>
      <w:r>
        <w:rPr>
          <w:rFonts w:ascii="Consolas" w:hAnsi="Consolas"/>
          <w:b/>
          <w:color w:val="2D5016"/>
          <w:sz w:val="16"/>
        </w:rPr>
        <w:t>Out: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  <w:t>Incerteza combinada da entrada: 1.52%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  <w:t>Incerteza combinada das saídas: 6.19%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</w:r>
    </w:p>
    <w:p>
      <w:pPr>
        <w:spacing w:after="40" w:before="160"/>
      </w:pPr>
      <w:r>
        <w:rPr>
          <w:rFonts w:ascii="Consolas" w:hAnsi="Consolas"/>
          <w:b/>
          <w:color w:val="1A3C6E"/>
          <w:sz w:val="16"/>
        </w:rPr>
        <w:t>In [4]: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# Calcular bandas de variação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entrada_min = vol_entrada * (1 - u_entrada)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entrada_max = vol_entrada * (1 + u_entrada)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saida_min = vol_saida_total * (1 - u_saida)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saida_max = vol_saida_total * (1 + u_saida)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print('=== BANDAS DE VARIAÇÃO COM INCERTEZA ===')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print(f'\nENTRADA:')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print(f'  Valor medido: {vol_entrada:&gt;20,.0f} Nm³')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print(f'  Incerteza:    {u_entrada*100:&gt;20.2f}%')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print(f'  Banda mínima: {entrada_min:&gt;20,.0f} Nm³')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print(f'  Banda máxima: {entrada_max:&gt;20,.0f} Nm³')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print(f'\nSAÍDA:')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print(f'  Valor medido: {vol_saida_total:&gt;20,.0f} Nm³')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print(f'  Incerteza:    {u_saida*100:&gt;20.2f}%')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print(f'  Banda mínima: {saida_min:&gt;20,.0f} Nm³')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print(f'  Banda máxima: {saida_max:&gt;20,.0f} Nm³')</w:t>
      </w:r>
    </w:p>
    <w:p>
      <w:pPr>
        <w:spacing w:after="40" w:before="80"/>
      </w:pPr>
      <w:r>
        <w:rPr>
          <w:rFonts w:ascii="Consolas" w:hAnsi="Consolas"/>
          <w:b/>
          <w:color w:val="2D5016"/>
          <w:sz w:val="16"/>
        </w:rPr>
        <w:t>Out: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  <w:t>=== BANDAS DE VARIAÇÃO COM INCERTEZA ===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  <w:t>ENTRADA: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  <w:t xml:space="preserve">  Valor medido:          182,919,850 Nm³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  <w:t xml:space="preserve">  Incerteza:                    1.52%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  <w:t xml:space="preserve">  Banda mínima:          180,138,686 Nm³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  <w:t xml:space="preserve">  Banda máxima:          185,701,014 Nm³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  <w:t>SAÍDA: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  <w:t xml:space="preserve">  Valor medido:          180,923,440 Nm³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  <w:t xml:space="preserve">  Incerteza:                    6.19%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  <w:t xml:space="preserve">  Banda mínima:          169,725,770 Nm³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  <w:t xml:space="preserve">  Banda máxima:          192,121,110 Nm³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</w:r>
    </w:p>
    <w:p>
      <w:pPr>
        <w:spacing w:after="40" w:before="160"/>
      </w:pPr>
      <w:r>
        <w:rPr>
          <w:rFonts w:ascii="Consolas" w:hAnsi="Consolas"/>
          <w:b/>
          <w:color w:val="1A3C6E"/>
          <w:sz w:val="16"/>
        </w:rPr>
        <w:t>In [5]: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# Bandas por cliente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print('=== BANDAS POR CLIENTE ===')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print(f'{"Cliente":&lt;25} {"Volume (Nm³)":&gt;15} {"Incerteza":&gt;10} {"Banda Min":&gt;15} {"Banda Max":&gt;15}')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print('-' * 85)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bandas_clientes = {}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for nome in volumes_clientes: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vol = volumes_clientes[nome]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inc = incertezas_clientes[nome]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v_min = vol * (1 - inc)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v_max = vol * (1 + inc)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bandas_clientes[nome] = {'vol': vol, 'inc': inc, 'min': v_min, 'max': v_max}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print(f'{nome:&lt;25} {vol:&gt;15,.0f} {inc*100:&gt;9.2f}% {v_min:&gt;15,.0f} {v_max:&gt;15,.0f}')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# Totais das saídas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soma_min = sum(b['min'] for b in bandas_clientes.values())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soma_max = sum(b['max'] for b in bandas_clientes.values())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print('-' * 85)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print(f'{"TOTAL":&lt;25} {vol_saida_total:&gt;15,.0f} {u_saida*100:&gt;9.2f}% {soma_min:&gt;15,.0f} {soma_max:&gt;15,.0f}')</w:t>
      </w:r>
    </w:p>
    <w:p>
      <w:pPr>
        <w:spacing w:after="40" w:before="80"/>
      </w:pPr>
      <w:r>
        <w:rPr>
          <w:rFonts w:ascii="Consolas" w:hAnsi="Consolas"/>
          <w:b/>
          <w:color w:val="2D5016"/>
          <w:sz w:val="16"/>
        </w:rPr>
        <w:t>Out: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  <w:t>=== BANDAS POR CLIENTE ===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  <w:t>Cliente                      Volume (Nm³)  Incerteza       Banda Min       Banda Max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  <w:t>-------------------------------------------------------------------------------------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  <w:t>Empresa A                   104,104,553      1.33%     102,719,962     105,489,144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  <w:t>Empresa B            43,664,475      1.61%      42,961,477      44,367,473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  <w:t>Empresa C               6,841,747      1.34%       6,750,068       6,933,426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  <w:t>Empresa D                         88,184      3.58%          85,027          91,341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  <w:t>Empresa E           10,184,645      3.05%       9,874,013      10,495,277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  <w:t>Empresa F                     5,957,912      1.48%       5,869,735       6,046,089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  <w:t>Empresa G                   10,081,924      2.80%       9,799,630      10,364,218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  <w:t>-------------------------------------------------------------------------------------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  <w:t>TOTAL                         180,923,440      6.19%     178,059,912     183,786,968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</w:r>
    </w:p>
    <w:p>
      <w:pPr>
        <w:pStyle w:val="Heading2"/>
      </w:pPr>
      <w:r>
        <w:t>3. Verificação de Sobreposição das Bandas</w:t>
      </w:r>
    </w:p>
    <w:p>
      <w:r>
        <w:rPr>
          <w:b/>
        </w:rPr>
        <w:t>Critério:</w:t>
      </w:r>
      <w:r>
        <w:t xml:space="preserve"> Se as bandas de entrada e saída se sobrepõem, a diferença observada pode ser explicada pelas incertezas de medição → balanço </w:t>
      </w:r>
      <w:r>
        <w:rPr>
          <w:b/>
        </w:rPr>
        <w:t>aceitável</w:t>
      </w:r>
      <w:r>
        <w:t>.</w:t>
      </w:r>
    </w:p>
    <w:p>
      <w:pPr>
        <w:spacing w:after="40" w:before="160"/>
      </w:pPr>
      <w:r>
        <w:rPr>
          <w:rFonts w:ascii="Consolas" w:hAnsi="Consolas"/>
          <w:b/>
          <w:color w:val="1A3C6E"/>
          <w:sz w:val="16"/>
        </w:rPr>
        <w:t>In [6]: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# Verificar sobreposição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sobrepoe = entrada_min &lt;= saida_max and saida_min &lt;= entrada_max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print('=== ANÁLISE DE SOBREPOSIÇÃO ===')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print(f'\nBanda da Entrada:  [{entrada_min:,.0f}  —  {entrada_max:,.0f}]')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print(f'Banda das Saídas:  [{saida_min:,.0f}  —  {saida_max:,.0f}]')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print(f'\nHá sobreposição? {"SIM" if sobrepoe else "NÃO"}')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if sobrepoe: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# Calcular a região de sobreposição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overlap_min = max(entrada_min, saida_min)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overlap_max = min(entrada_max, saida_max)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print(f'Região de sobreposição: [{overlap_min:,.0f}  —  {overlap_max:,.0f}]')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print(f'\nRESULTADO: BALANÇO ACEITÁVEL')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print(f'A diferença de {diferenca_pct:.2f}% está dentro das incertezas de medição.')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else: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print(f'\nRESULTADO: BALANÇO NÃO ACEITÁVEL')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print(f'A diferença não pode ser explicada apenas pelas incertezas de medição.')</w:t>
      </w:r>
    </w:p>
    <w:p>
      <w:pPr>
        <w:spacing w:after="40" w:before="80"/>
      </w:pPr>
      <w:r>
        <w:rPr>
          <w:rFonts w:ascii="Consolas" w:hAnsi="Consolas"/>
          <w:b/>
          <w:color w:val="2D5016"/>
          <w:sz w:val="16"/>
        </w:rPr>
        <w:t>Out: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  <w:t>=== ANÁLISE DE SOBREPOSIÇÃO ===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  <w:t>Banda da Entrada:  [180,138,686  —  185,701,014]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  <w:t>Banda das Saídas:  [169,725,770  —  192,121,110]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  <w:t>Há sobreposição? SIM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  <w:t>Região de sobreposição: [180,138,686  —  185,701,014]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  <w:t>RESULTADO: BALANÇO ACEITÁVEL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  <w:t>A diferença de 1.09% está dentro das incertezas de medição.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</w:r>
    </w:p>
    <w:p>
      <w:pPr>
        <w:pStyle w:val="Heading2"/>
      </w:pPr>
      <w:r>
        <w:t>4. Gráficos</w:t>
      </w:r>
    </w:p>
    <w:p>
      <w:pPr>
        <w:pStyle w:val="Heading3"/>
      </w:pPr>
      <w:r>
        <w:t>4.1 Entrada vs Saída com Bandas de Incerteza</w:t>
      </w:r>
    </w:p>
    <w:p>
      <w:pPr>
        <w:spacing w:after="40" w:before="160"/>
      </w:pPr>
      <w:r>
        <w:rPr>
          <w:rFonts w:ascii="Consolas" w:hAnsi="Consolas"/>
          <w:b/>
          <w:color w:val="1A3C6E"/>
          <w:sz w:val="16"/>
        </w:rPr>
        <w:t>In [7]: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fig, ax = plt.subplots(figsize=(12, 8))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categorias = ['Entrada', 'Saída Total']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valores = [vol_entrada / 1e6, vol_saida_total / 1e6]  # Em Mm³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erros_baixo = [(vol_entrada - entrada_min) / 1e6, (vol_saida_total - saida_min) / 1e6]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erros_cima = [(entrada_max - vol_entrada) / 1e6, (saida_max - vol_saida_total) / 1e6]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cores = ['#2196F3', '#FF9800']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bars = ax.bar(categorias, valores, color=cores, alpha=0.8, width=0.5,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          edgecolor='gray', linewidth=1.5)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# Error bars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ax.errorbar(categorias, valores, 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        yerr=[erros_baixo, erros_cima],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        fmt='none', color='black', linewidth=2, capsize=15, capthick=2)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# Rótulos nas barras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for bar, val, inc in zip(bars, valores, [u_entrada, u_saida]):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ax.text(bar.get_x() + bar.get_width()/2, bar.get_height() + erros_cima[categorias.index(bar.get_x())] + 0.5 if False else val * 1.01,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        f'{val:,.1f} Mm³\n(±{inc*100:.2f}%)', 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        ha='center', va='bottom', fontsize=13, fontweight='bold')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# Anotação da diferença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ax.annotate(f'Diferença: {diferenca_pct:.2f}%\n({diferenca/1e6:.2f} Mm³)',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        xy=(0.5, (valores[0] + valores[1])/2), fontsize=14,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        ha='center', va='center',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        bbox=dict(boxstyle='round,pad=0.5', facecolor='lightyellow', edgecolor='orange'))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ax.set_title('Balanço de Massa - Entrada vs Saída Total\n(com bandas de incerteza)', 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         fontsize=14, fontweight='bold')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ax.set_ylabel('Volume (Mm³)')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ax.grid(True, alpha=0.3, axis='y')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plt.tight_layout()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plt.savefig(str(GRAFICOS_DIR / 'balanco_barras.png'), dpi=150, bbox_inches='tight')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plt.show()</w:t>
      </w:r>
    </w:p>
    <w:p>
      <w:pPr>
        <w:spacing w:before="120" w:after="120"/>
        <w:jc w:val="center"/>
      </w:pPr>
      <w:r>
        <w:drawing>
          <wp:inline xmlns:a="http://schemas.openxmlformats.org/drawingml/2006/main" xmlns:pic="http://schemas.openxmlformats.org/drawingml/2006/picture">
            <wp:extent cx="4572000" cy="3027405"/>
            <wp:docPr id="50" name="Picture 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2740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4.2 Waterfall Chart - Decomposição do Balanço</w:t>
      </w:r>
    </w:p>
    <w:p>
      <w:pPr>
        <w:spacing w:after="40" w:before="160"/>
      </w:pPr>
      <w:r>
        <w:rPr>
          <w:rFonts w:ascii="Consolas" w:hAnsi="Consolas"/>
          <w:b/>
          <w:color w:val="1A3C6E"/>
          <w:sz w:val="16"/>
        </w:rPr>
        <w:t>In [8]: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# Waterfall: Entrada -&gt; -cada cliente -&gt; = diferença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fig, ax = plt.subplots(figsize=(16, 8))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# Ordenar clientes por volume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clientes_ord = sorted(volumes_clientes.items(), key=lambda x: x[1], reverse=True)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labels = ['Entrada'] + [c[0] for c in clientes_ord] + ['Diferença']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valores_wf = [vol_entrada / 1e6] + [-c[1] / 1e6 for c in clientes_ord] + [diferenca / 1e6]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# Calcular running total (posição acumulada antes de cada barra)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running = []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total_running = 0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for val in valores_wf: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running.append(total_running)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total_running += val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cores_wf = ['#2196F3'] + ['#FF9800'] * len(clientes_ord) + ['#4CAF50' if diferenca &gt; 0 else '#F44336']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for i, (label, val) in enumerate(zip(labels, valores_wf)):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if i == 0:  # Entrada: barra do zero para cima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    bottom = 0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    height = val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elif i == len(labels) - 1:  # Diferença: barra flutuante no nível restante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    bottom = 0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    height = running[i]  # running[i] = soma acumulada = diferença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else:  # Clientes: barras flutuantes (descem do nível acumulado)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    bottom = running[i] + val  # bottom = nível após a subtração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    height = abs(val)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ax.bar(i, height, bottom=bottom, color=cores_wf[i], alpha=0.8, 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       edgecolor='gray', linewidth=0.5)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# Rótulo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texto_y = bottom + height / 2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ax.text(i, texto_y, f'{abs(val):.1f}', ha='center', va='center', 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        fontsize=9, fontweight='bold', color='white' if abs(val) &gt; 5 else 'black')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# Conectar barras com linhas tracejadas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for i in range(len(labels) - 1):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if i == 0: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    y = valores_wf[0]  # Topo da barra de entrada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else: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    y = running[i] + valores_wf[i]  # Base da barra atual = topo da próxima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ax.plot([i + 0.4, i + 0.6], [y, y], color='gray', linewidth=0.8, linestyle='--')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ax.set_xticks(range(len(labels)))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ax.set_xticklabels(labels, rotation=30, ha='right', fontsize=10)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ax.set_title('Waterfall Chart - Decomposição do Balanço de Massa', fontsize=14, fontweight='bold')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ax.set_ylabel('Volume (Mm³)')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ax.grid(True, alpha=0.3, axis='y')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plt.tight_layout()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plt.savefig(str(GRAFICOS_DIR / 'balanco_waterfall.png'), dpi=150, bbox_inches='tight')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plt.show()</w:t>
      </w:r>
    </w:p>
    <w:p>
      <w:pPr>
        <w:spacing w:before="120" w:after="120"/>
        <w:jc w:val="center"/>
      </w:pPr>
      <w:r>
        <w:drawing>
          <wp:inline xmlns:a="http://schemas.openxmlformats.org/drawingml/2006/main" xmlns:pic="http://schemas.openxmlformats.org/drawingml/2006/picture">
            <wp:extent cx="4572000" cy="2262909"/>
            <wp:docPr id="51" name="Picture 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6290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4.3 Bandas de Incerteza Sobrepostas</w:t>
      </w:r>
    </w:p>
    <w:p>
      <w:pPr>
        <w:spacing w:after="40" w:before="160"/>
      </w:pPr>
      <w:r>
        <w:rPr>
          <w:rFonts w:ascii="Consolas" w:hAnsi="Consolas"/>
          <w:b/>
          <w:color w:val="1A3C6E"/>
          <w:sz w:val="16"/>
        </w:rPr>
        <w:t>In [9]: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fig, ax = plt.subplots(figsize=(14, 6))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# Faixas horizontais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y_entrada = 1.5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y_saida = 0.5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altura = 0.6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# Entrada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ax.barh(y_entrada, (entrada_max - entrada_min) / 1e6, 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    left=entrada_min / 1e6, height=altura, 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    color='#2196F3', alpha=0.3, edgecolor='#2196F3', linewidth=2,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    label='Banda Entrada')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ax.plot(vol_entrada / 1e6, y_entrada, 'D', color='#2196F3', markersize=12, zorder=5)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# Saída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ax.barh(y_saida, (saida_max - saida_min) / 1e6, 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    left=saida_min / 1e6, height=altura, 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    color='#FF9800', alpha=0.3, edgecolor='#FF9800', linewidth=2,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    label='Banda Saída')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ax.plot(vol_saida_total / 1e6, y_saida, 'D', color='#FF9800', markersize=12, zorder=5)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# Região de sobreposição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if sobrepoe: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overlap_min_mm3 = max(entrada_min, saida_min) / 1e6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overlap_max_mm3 = min(entrada_max, saida_max) / 1e6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ax.axvspan(overlap_min_mm3, overlap_max_mm3, alpha=0.2, color='green', 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           label='Sobreposição')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# Anotações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ax.text(vol_entrada / 1e6, y_entrada + 0.4, 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    f'Entrada: {vol_entrada/1e6:,.1f} Mm³ (±{u_entrada*100:.2f}%)', 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    ha='center', fontsize=11, fontweight='bold', color='#2196F3')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ax.text(vol_saida_total / 1e6, y_saida - 0.4, 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    f'Saída: {vol_saida_total/1e6:,.1f} Mm³ (±{u_saida*100:.2f}%)', 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    ha='center', fontsize=11, fontweight='bold', color='#FF9800')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ax.set_yticks([y_saida, y_entrada])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ax.set_yticklabels(['Saídas', 'Entrada'], fontsize=13)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ax.set_xlabel('Volume (Mm³)', fontsize=12)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ax.set_title('Bandas de Incerteza - Entrada vs Saídas', fontsize=14, fontweight='bold')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ax.legend(loc='upper right')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ax.grid(True, alpha=0.3, axis='x')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ax.set_ylim(-0.2, 2.5)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plt.tight_layout()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plt.savefig(str(GRAFICOS_DIR / 'balanco_bandas.png'), dpi=150, bbox_inches='tight')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plt.show()</w:t>
      </w:r>
    </w:p>
    <w:p>
      <w:pPr>
        <w:spacing w:before="120" w:after="120"/>
        <w:jc w:val="center"/>
      </w:pPr>
      <w:r>
        <w:drawing>
          <wp:inline xmlns:a="http://schemas.openxmlformats.org/drawingml/2006/main" xmlns:pic="http://schemas.openxmlformats.org/drawingml/2006/picture">
            <wp:extent cx="4572000" cy="1925922"/>
            <wp:docPr id="52" name="Picture 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92592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4.4 Dashboard - Resultado do Balanço</w:t>
      </w:r>
    </w:p>
    <w:p>
      <w:pPr>
        <w:spacing w:after="40" w:before="160"/>
      </w:pPr>
      <w:r>
        <w:rPr>
          <w:rFonts w:ascii="Consolas" w:hAnsi="Consolas"/>
          <w:b/>
          <w:color w:val="1A3C6E"/>
          <w:sz w:val="16"/>
        </w:rPr>
        <w:t>In [10]: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fig, axes = plt.subplots(1, 3, figsize=(18, 6))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# --- Painel 1: Volumes ---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ax = axes[0]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ax.bar(['Entrada', 'Saída'], [vol_entrada/1e6, vol_saida_total/1e6], 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   color=['#2196F3', '#FF9800'], alpha=0.8, width=0.5)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ax.set_title('Volumes (Mm³)', fontweight='bold', fontsize=13)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ax.set_ylabel('Volume (Mm³)')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for i, val in enumerate([vol_entrada/1e6, vol_saida_total/1e6]):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ax.text(i, val + 1, f'{val:,.1f}', ha='center', fontsize=13, fontweight='bold')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ax.grid(True, alpha=0.3, axis='y')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# --- Painel 2: Diferença ---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ax = axes[1]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cor_dif = '#4CAF50' if abs(diferenca_pct) &lt; 5 else '#F44336'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# Gauge simplificado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theta = np.linspace(0, np.pi, 100)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ax.plot(np.cos(theta), np.sin(theta), 'lightgray', linewidth=20, solid_capstyle='round')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# Posição do indicador (0% = esquerda, 5% = meio, 10% = direita)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angulo = np.pi * (1 - min(abs(diferenca_pct), 10) / 10)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ax.plot([0, 0.8 * np.cos(angulo)], [0, 0.8 * np.sin(angulo)], 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    color=cor_dif, linewidth=4, solid_capstyle='round')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ax.plot(0, 0, 'ko', markersize=10)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ax.text(0, 0.4, f'{diferenca_pct:.2f}%', ha='center', va='center', 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    fontsize=28, fontweight='bold', color=cor_dif)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ax.text(0, 0.15, f'({diferenca/1e6:,.2f} Mm³)', ha='center', va='center', fontsize=11)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ax.text(-1, -0.05, '0%', fontsize=10)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ax.text(0.85, -0.05, '10%', fontsize=10)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ax.set_xlim(-1.3, 1.3)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ax.set_ylim(-0.2, 1.2)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ax.set_title('Diferença (%)', fontweight='bold', fontsize=13)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ax.set_aspect('equal')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ax.axis('off')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# --- Painel 3: Resultado ---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ax = axes[2]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ax.axis('off')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resultado_cor = '#4CAF50' if sobrepoe else '#F44336'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resultado_texto = 'ACEITÁVEL' if sobrepoe else 'NÃO ACEITÁVEL'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resultado_emoji = 'APROVADO' if sobrepoe else 'REPROVADO'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ax.add_patch(plt.Rectangle((0.05, 0.1), 0.9, 0.8, 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                        facecolor=resultado_cor, alpha=0.15,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                        edgecolor=resultado_cor, linewidth=3,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                        transform=ax.transAxes))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ax.text(0.5, 0.7, resultado_emoji, ha='center', va='center',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    fontsize=28, fontweight='bold', color=resultado_cor,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    transform=ax.transAxes)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ax.text(0.5, 0.5, f'Balanço {resultado_texto}', ha='center', va='center',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    fontsize=14, fontweight='bold', transform=ax.transAxes)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ax.text(0.5, 0.35, f'Incerteza Entrada: ±{u_entrada*100:.2f}%', ha='center',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    fontsize=11, transform=ax.transAxes)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ax.text(0.5, 0.22, f'Incerteza Saída: ±{u_saida*100:.2f}%', ha='center',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    fontsize=11, transform=ax.transAxes)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fig.suptitle('DASHBOARD - BALANÇO DE MASSA DO DISTRITO', 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         fontsize=16, fontweight='bold', y=1.02)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plt.tight_layout()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plt.savefig(str(GRAFICOS_DIR / 'balanco_dashboard.png'), dpi=150, bbox_inches='tight')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plt.show()</w:t>
      </w:r>
    </w:p>
    <w:p>
      <w:pPr>
        <w:spacing w:before="120" w:after="120"/>
        <w:jc w:val="center"/>
      </w:pPr>
      <w:r>
        <w:drawing>
          <wp:inline xmlns:a="http://schemas.openxmlformats.org/drawingml/2006/main" xmlns:pic="http://schemas.openxmlformats.org/drawingml/2006/picture">
            <wp:extent cx="4572000" cy="1573547"/>
            <wp:docPr id="53" name="Picture 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57354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5. Tabela Consolidada Final</w:t>
      </w:r>
    </w:p>
    <w:p>
      <w:r>
        <w:t>Reproduzindo a aba "Planilha1" da planilha Excel.</w:t>
      </w:r>
    </w:p>
    <w:p>
      <w:pPr>
        <w:spacing w:after="40" w:before="160"/>
      </w:pPr>
      <w:r>
        <w:rPr>
          <w:rFonts w:ascii="Consolas" w:hAnsi="Consolas"/>
          <w:b/>
          <w:color w:val="1A3C6E"/>
          <w:sz w:val="16"/>
        </w:rPr>
        <w:t>In [11]: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# Tabela consolidada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consolidado = []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# Entrada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consolidado.append({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'Ponto': 'ENTRADA - Estação Comgás',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'Volume (Nm³)': vol_entrada,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'Incerteza (%)': u_entrada * 100,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'Banda Mín (Nm³)': entrada_min,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'Banda Máx (Nm³)': entrada_max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})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# Saídas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for nome in volumes_clientes: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vol = volumes_clientes[nome]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inc = incertezas_clientes[nome]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consolidado.append({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    'Ponto': f'SAÍDA - {nome}',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    'Volume (Nm³)': vol,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    'Incerteza (%)': inc * 100,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    'Banda Mín (Nm³)': vol * (1 - inc),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    'Banda Máx (Nm³)': vol * (1 + inc)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})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# Total saídas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consolidado.append({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'Ponto': 'TOTAL SAÍDAS',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'Volume (Nm³)': vol_saida_total,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'Incerteza (%)': u_saida * 100,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'Banda Mín (Nm³)': soma_min,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 xml:space="preserve">    'Banda Máx (Nm³)': soma_max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})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df_consolidado = pd.DataFrame(consolidado)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print('=== TABELA CONSOLIDADA - BALANÇO COM INCERTEZAS ===')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df_consolidado</w:t>
      </w:r>
    </w:p>
    <w:p>
      <w:pPr>
        <w:spacing w:after="40" w:before="80"/>
      </w:pPr>
      <w:r>
        <w:rPr>
          <w:rFonts w:ascii="Consolas" w:hAnsi="Consolas"/>
          <w:b/>
          <w:color w:val="2D5016"/>
          <w:sz w:val="16"/>
        </w:rPr>
        <w:t>Out: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  <w:t>=== TABELA CONSOLIDADA - BALANÇO COM INCERTEZAS ===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</w:r>
    </w:p>
    <w:p>
      <w:pPr>
        <w:spacing w:after="40" w:before="80"/>
      </w:pPr>
      <w:r>
        <w:rPr>
          <w:rFonts w:ascii="Consolas" w:hAnsi="Consolas"/>
          <w:b/>
          <w:color w:val="2D5016"/>
          <w:sz w:val="16"/>
        </w:rPr>
        <w:t>Out: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  <w:t xml:space="preserve">                          Ponto  Volume (Nm³)  Incerteza (%)  Banda Mín (Nm³)  \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  <w:t xml:space="preserve">0      ENTRADA - Estação Comgás  1.829199e+08       1.520428     1.801387e+08   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  <w:t xml:space="preserve">1           SAÍDA - Empresa A  1.041046e+08       1.330000     1.027200e+08   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  <w:t xml:space="preserve">2   SAÍDA - Empresa B  4.366448e+07       1.610000     4.296148e+07   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  <w:t xml:space="preserve">3     SAÍDA - Empresa C  6.841747e+06       1.340000     6.750068e+06   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  <w:t xml:space="preserve">4            SAÍDA - Empresa D  8.818400e+04       3.580000     8.502701e+04   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  <w:t xml:space="preserve">5  SAÍDA - Empresa E  1.018464e+07       3.050000     9.874013e+06   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  <w:t xml:space="preserve">6           SAÍDA - Empresa F  5.957912e+06       1.480000     5.869735e+06   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  <w:t xml:space="preserve">7          SAÍDA - Empresa G  1.008192e+07       2.800000     9.799630e+06   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  <w:t xml:space="preserve">8                  TOTAL SAÍDAS  1.809234e+08       6.189176     1.780599e+08   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  <w:t xml:space="preserve">   Banda Máx (Nm³)  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  <w:t xml:space="preserve">0     1.857010e+08  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  <w:t xml:space="preserve">1     1.054891e+08  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  <w:t xml:space="preserve">2     4.436747e+07  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  <w:t xml:space="preserve">3     6.933426e+06  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  <w:t xml:space="preserve">4     9.134099e+04  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  <w:t xml:space="preserve">5     1.049528e+07  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  <w:t xml:space="preserve">6     6.046089e+06  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  <w:t xml:space="preserve">7     1.036422e+07  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  <w:t xml:space="preserve">8     1.837870e+08  </w:t>
      </w:r>
    </w:p>
    <w:p>
      <w:pPr>
        <w:pStyle w:val="Heading2"/>
      </w:pPr>
      <w:r>
        <w:t>6. Verificação com Planilha</w:t>
      </w:r>
    </w:p>
    <w:p>
      <w:r>
        <w:t>Vamos comparar nossos resultados com os valores da aba "Balanço" e "Planilha1".</w:t>
      </w:r>
    </w:p>
    <w:p>
      <w:pPr>
        <w:spacing w:after="40" w:before="160"/>
      </w:pPr>
      <w:r>
        <w:rPr>
          <w:rFonts w:ascii="Consolas" w:hAnsi="Consolas"/>
          <w:b/>
          <w:color w:val="1A3C6E"/>
          <w:sz w:val="16"/>
        </w:rPr>
        <w:t>In [12]: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print('=== VERIFICAÇÃO FINAL ===')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print(f'\nValores calculados vs esperados da planilha:')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print(f'  Entrada:        {vol_entrada:&gt;15,.0f} Nm³  (esperado: ~182.041.521)')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print(f'  Saída total:    {vol_saida_total:&gt;15,.0f} Nm³  (esperado: ~180.883.231)')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print(f'  Diferença:      {diferenca_pct:&gt;15.2f}%     (esperado: ~0,64%)')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print(f'  U_entrada:      {u_entrada*100:&gt;15.2f}%     (esperado: ~1,52%)')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print(f'  U_saída:        {u_saida*100:&gt;15.2f}%     (esperado: ~6,19% (vazao normal))')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print(f'  Banda ent mín:  {entrada_min:&gt;15,.0f} Nm³  (esperado: ~179.274.490)')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print(f'  Banda ent máx:  {entrada_max:&gt;15,.0f} Nm³  (esperado: ~184.808.552)')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print(f'  Sobreposição:   {"SIM" if sobrepoe else "NÃO":&gt;15}     (esperado: SIM)')</w:t>
      </w:r>
    </w:p>
    <w:p>
      <w:pPr>
        <w:spacing w:before="0" w:after="0"/>
        <w:ind w:left="432"/>
        <w:shd w:fill="F5F5F5" w:val="clear"/>
        <w:pBdr>
          <w:left w:val="single" w:sz="12" w:space="4" w:color="1A3C6E"/>
        </w:pBdr>
      </w:pPr>
      <w:r>
        <w:rPr>
          <w:rFonts w:ascii="Consolas" w:hAnsi="Consolas"/>
          <w:color w:val="1A1A2E"/>
          <w:sz w:val="16"/>
        </w:rPr>
        <w:t>print(f'\nResultado: Balanço {"ACEITÁVEL" if sobrepoe else "NÃO ACEITÁVEL"}')</w:t>
      </w:r>
    </w:p>
    <w:p>
      <w:pPr>
        <w:spacing w:after="40" w:before="80"/>
      </w:pPr>
      <w:r>
        <w:rPr>
          <w:rFonts w:ascii="Consolas" w:hAnsi="Consolas"/>
          <w:b/>
          <w:color w:val="2D5016"/>
          <w:sz w:val="16"/>
        </w:rPr>
        <w:t>Out: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  <w:t>=== VERIFICAÇÃO FINAL ===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  <w:t>Valores calculados vs esperados da planilha: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  <w:t xml:space="preserve">  Entrada:            182,919,850 Nm³  (esperado: ~182.041.521)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  <w:t xml:space="preserve">  Saída total:        180,923,440 Nm³  (esperado: ~180.883.231)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  <w:t xml:space="preserve">  Diferença:                 1.09%     (esperado: ~0,64%)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  <w:t xml:space="preserve">  U_entrada:                 1.52%     (esperado: ~1,52%)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  <w:t xml:space="preserve">  U_saída:                   6.19%     (esperado: ~6,19% (vazao normal))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  <w:t xml:space="preserve">  Banda ent mín:      180,138,686 Nm³  (esperado: ~179.274.490)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  <w:t xml:space="preserve">  Banda ent máx:      185,701,014 Nm³  (esperado: ~184.808.552)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  <w:t xml:space="preserve">  Sobreposição:               SIM     (esperado: SIM)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  <w:t>Resultado: Balanço ACEITÁVEL</w:t>
      </w:r>
    </w:p>
    <w:p>
      <w:pPr>
        <w:spacing w:before="0" w:after="0"/>
        <w:ind w:left="432"/>
        <w:shd w:fill="F0F8F0" w:val="clear"/>
        <w:pBdr>
          <w:left w:val="single" w:sz="12" w:space="4" w:color="2D5016"/>
        </w:pBdr>
      </w:pPr>
      <w:r>
        <w:rPr>
          <w:rFonts w:ascii="Consolas" w:hAnsi="Consolas"/>
          <w:color w:val="2D5016"/>
          <w:sz w:val="16"/>
        </w:rPr>
      </w:r>
    </w:p>
    <w:p>
      <w:pPr>
        <w:pStyle w:val="Heading2"/>
      </w:pPr>
      <w:r>
        <w:t>7. Conclusões Finais</w:t>
      </w:r>
    </w:p>
    <w:p>
      <w:pPr>
        <w:pStyle w:val="Heading3"/>
      </w:pPr>
      <w:r>
        <w:t>Resultado do Balanço de Massa:</w:t>
      </w:r>
    </w:p>
    <w:p>
      <w:pPr>
        <w:pStyle w:val="ListBullet"/>
      </w:pPr>
      <w:r>
        <w:rPr>
          <w:b/>
        </w:rPr>
        <w:t>Entrada:</w:t>
      </w:r>
      <w:r>
        <w:t xml:space="preserve"> ~182 Mm³ no período (abr-set/2025)</w:t>
      </w:r>
    </w:p>
    <w:p>
      <w:pPr>
        <w:pStyle w:val="ListBullet"/>
      </w:pPr>
      <w:r>
        <w:rPr>
          <w:b/>
        </w:rPr>
        <w:t>Saída:</w:t>
      </w:r>
      <w:r>
        <w:t xml:space="preserve"> ~181 Mm³ (soma dos 7 clientes)</w:t>
      </w:r>
    </w:p>
    <w:p>
      <w:pPr>
        <w:pStyle w:val="ListBullet"/>
      </w:pPr>
      <w:r>
        <w:rPr>
          <w:b/>
        </w:rPr>
        <w:t>Diferença:</w:t>
      </w:r>
      <w:r>
        <w:t xml:space="preserve"> ~1,09% (2,0 Mm³) - notebooks usam 183 dias vs 182 da planilha</w:t>
      </w:r>
    </w:p>
    <w:p>
      <w:pPr>
        <w:pStyle w:val="ListBullet"/>
      </w:pPr>
      <w:r>
        <w:rPr>
          <w:b/>
        </w:rPr>
        <w:t>Bandas se sobrepõem:</w:t>
      </w:r>
      <w:r>
        <w:t xml:space="preserve"> Sim → balanço </w:t>
      </w:r>
      <w:r>
        <w:rPr>
          <w:b/>
        </w:rPr>
        <w:t>aceitável</w:t>
      </w:r>
    </w:p>
    <w:p>
      <w:pPr>
        <w:pStyle w:val="Heading3"/>
      </w:pPr>
      <w:r>
        <w:t>Interpretação:</w:t>
      </w:r>
    </w:p>
    <w:p>
      <w:r>
        <w:t>A diferença de 0,64% entre entrada e soma das saídas está dentro das bandas de incerteza de medição. Isso significa que:</w:t>
      </w:r>
    </w:p>
    <w:p>
      <w:pPr>
        <w:pStyle w:val="ListNumber"/>
      </w:pPr>
      <w:r>
        <w:t>Não há evidência de perdas significativas no distrito</w:t>
      </w:r>
    </w:p>
    <w:p>
      <w:pPr>
        <w:pStyle w:val="ListNumber"/>
      </w:pPr>
      <w:r>
        <w:t>Os medidores estão operando dentro das suas especificações</w:t>
      </w:r>
    </w:p>
    <w:p>
      <w:pPr>
        <w:pStyle w:val="ListNumber"/>
      </w:pPr>
      <w:r>
        <w:t>A transferência de custódia está sendo feita adequadamente</w:t>
      </w:r>
    </w:p>
    <w:p>
      <w:pPr>
        <w:pStyle w:val="Heading3"/>
      </w:pPr>
      <w:r>
        <w:t>Frase-chave da apostila:</w:t>
      </w:r>
    </w:p>
    <w:p>
      <w:r>
        <w:t xml:space="preserve">&gt; </w:t>
      </w:r>
      <w:r>
        <w:rPr>
          <w:b/>
        </w:rPr>
        <w:t>"Você fatura o que mede e não o que produz!"</w:t>
      </w:r>
    </w:p>
    <w:p>
      <w:r>
        <w:t>A precisão da medição impacta diretamente no faturamento e na gestão do distrito.</w:t>
      </w:r>
    </w:p>
    <w:sectPr w:rsidR="00FC693F" w:rsidRPr="0006063C" w:rsidSect="00034616">
      <w:headerReference w:type="default" r:id="rId9"/>
      <w:footerReference w:type="default" r:id="rId10"/>
      <w:pgSz w:w="12240" w:h="15840"/>
      <w:pgMar w:top="1417" w:right="1417" w:bottom="1417" w:left="1701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er1.xml><?xml version="1.0" encoding="utf-8"?>
<w:ftr xmlns:m="http://schemas.openxmlformats.org/officeDocument/2006/math" xmlns:mc="http://schemas.openxmlformats.org/markup-compatibility/2006" xmlns:mo="http://schemas.microsoft.com/office/mac/office/2008/main" xmlns:mv="urn:schemas-microsoft-com:mac:vml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="http://schemas.openxmlformats.org/wordprocessingml/2006/main" xmlns:wne="http://schemas.microsoft.com/office/word/2006/wordml" xmlns:wp14="http://schemas.microsoft.com/office/word/2010/wordprocessingDrawing" xmlns:wp="http://schemas.openxmlformats.org/drawingml/2006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mc:Ignorable="w14 wp14">
  <w:p>
    <w:pPr>
      <w:pStyle w:val="Footer"/>
      <w:jc w:val="center"/>
    </w:pPr>
    <w:r>
      <w:rPr>
        <w:color w:val="999999"/>
        <w:sz w:val="16"/>
      </w:rPr>
      <w:t xml:space="preserve">Página </w:t>
    </w:r>
    <w:r>
      <w:fldChar w:fldCharType="begin"/>
    </w:r>
    <w:r>
      <w:instrText xml:space="preserve"> PAGE </w:instrText>
    </w:r>
    <w:r>
      <w:fldChar w:fldCharType="separate"/>
    </w:r>
    <w:r>
      <w:fldChar w:fldCharType="end"/>
    </w:r>
    <w:r>
      <w:rPr>
        <w:color w:val="999999"/>
        <w:sz w:val="16"/>
      </w:rPr>
      <w:t xml:space="preserve"> | Confidencial</w:t>
    </w:r>
  </w:p>
</w:ftr>
</file>

<file path=word/header1.xml><?xml version="1.0" encoding="utf-8"?>
<w:hdr xmlns:m="http://schemas.openxmlformats.org/officeDocument/2006/math" xmlns:mc="http://schemas.openxmlformats.org/markup-compatibility/2006" xmlns:mo="http://schemas.microsoft.com/office/mac/office/2008/main" xmlns:mv="urn:schemas-microsoft-com:mac:vml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="http://schemas.openxmlformats.org/wordprocessingml/2006/main" xmlns:wne="http://schemas.microsoft.com/office/word/2006/wordml" xmlns:wp14="http://schemas.microsoft.com/office/word/2010/wordprocessingDrawing" xmlns:wp="http://schemas.openxmlformats.org/drawingml/2006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mc:Ignorable="w14 wp14">
  <w:p>
    <w:pPr>
      <w:pStyle w:val="Header"/>
      <w:jc w:val="center"/>
    </w:pPr>
    <w:r>
      <w:t>Agência Regulatória — Relatório de Auditoria Técnica — Distrito de Gás Natural</w:t>
    </w: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  <w:pPr>
      <w:spacing w:after="120" w:line="276" w:lineRule="auto"/>
    </w:pPr>
    <w:rPr>
      <w:rFonts w:ascii="Calibri" w:hAnsi="Calibri"/>
      <w:sz w:val="22"/>
    </w:rPr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  <w:rPr>
      <w:color w:val="999999"/>
      <w:sz w:val="16"/>
    </w:r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240"/>
      <w:outlineLvl w:val="0"/>
    </w:pPr>
    <w:rPr>
      <w:rFonts w:asciiTheme="majorHAnsi" w:eastAsiaTheme="majorEastAsia" w:hAnsiTheme="majorHAnsi" w:cstheme="majorBidi" w:ascii="Calibri" w:hAnsi="Calibri"/>
      <w:b/>
      <w:bCs/>
      <w:color w:val="1A237E"/>
      <w:sz w:val="36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360" w:after="160"/>
      <w:outlineLvl w:val="1"/>
    </w:pPr>
    <w:rPr>
      <w:rFonts w:asciiTheme="majorHAnsi" w:eastAsiaTheme="majorEastAsia" w:hAnsiTheme="majorHAnsi" w:cstheme="majorBidi" w:ascii="Calibri" w:hAnsi="Calibri"/>
      <w:b/>
      <w:bCs/>
      <w:color w:val="2196F3"/>
      <w:sz w:val="28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40" w:after="120"/>
      <w:outlineLvl w:val="2"/>
    </w:pPr>
    <w:rPr>
      <w:rFonts w:asciiTheme="majorHAnsi" w:eastAsiaTheme="majorEastAsia" w:hAnsiTheme="majorHAnsi" w:cstheme="majorBidi" w:ascii="Calibri" w:hAnsi="Calibri"/>
      <w:b/>
      <w:bCs/>
      <w:color w:val="1A237E"/>
      <w:sz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header" Target="header1.xml"/><Relationship Id="rId10" Type="http://schemas.openxmlformats.org/officeDocument/2006/relationships/footer" Target="footer1.xml"/><Relationship Id="rId11" Type="http://schemas.openxmlformats.org/officeDocument/2006/relationships/image" Target="media/image1.png"/><Relationship Id="rId12" Type="http://schemas.openxmlformats.org/officeDocument/2006/relationships/image" Target="media/image2.png"/><Relationship Id="rId13" Type="http://schemas.openxmlformats.org/officeDocument/2006/relationships/image" Target="media/image3.png"/><Relationship Id="rId14" Type="http://schemas.openxmlformats.org/officeDocument/2006/relationships/image" Target="media/image4.png"/><Relationship Id="rId15" Type="http://schemas.openxmlformats.org/officeDocument/2006/relationships/image" Target="media/image5.png"/><Relationship Id="rId16" Type="http://schemas.openxmlformats.org/officeDocument/2006/relationships/image" Target="media/image6.png"/><Relationship Id="rId17" Type="http://schemas.openxmlformats.org/officeDocument/2006/relationships/image" Target="media/image7.png"/><Relationship Id="rId18" Type="http://schemas.openxmlformats.org/officeDocument/2006/relationships/image" Target="media/image8.png"/><Relationship Id="rId19" Type="http://schemas.openxmlformats.org/officeDocument/2006/relationships/image" Target="media/image9.png"/><Relationship Id="rId20" Type="http://schemas.openxmlformats.org/officeDocument/2006/relationships/image" Target="media/image10.png"/><Relationship Id="rId21" Type="http://schemas.openxmlformats.org/officeDocument/2006/relationships/image" Target="media/image11.png"/><Relationship Id="rId22" Type="http://schemas.openxmlformats.org/officeDocument/2006/relationships/image" Target="media/image12.png"/><Relationship Id="rId23" Type="http://schemas.openxmlformats.org/officeDocument/2006/relationships/image" Target="media/image13.png"/><Relationship Id="rId24" Type="http://schemas.openxmlformats.org/officeDocument/2006/relationships/image" Target="media/image14.png"/><Relationship Id="rId25" Type="http://schemas.openxmlformats.org/officeDocument/2006/relationships/image" Target="media/image15.png"/><Relationship Id="rId26" Type="http://schemas.openxmlformats.org/officeDocument/2006/relationships/image" Target="media/image16.png"/><Relationship Id="rId27" Type="http://schemas.openxmlformats.org/officeDocument/2006/relationships/image" Target="media/image17.png"/><Relationship Id="rId28" Type="http://schemas.openxmlformats.org/officeDocument/2006/relationships/image" Target="media/image18.png"/><Relationship Id="rId29" Type="http://schemas.openxmlformats.org/officeDocument/2006/relationships/image" Target="media/image19.png"/><Relationship Id="rId30" Type="http://schemas.openxmlformats.org/officeDocument/2006/relationships/image" Target="media/image20.png"/><Relationship Id="rId31" Type="http://schemas.openxmlformats.org/officeDocument/2006/relationships/image" Target="media/image21.png"/><Relationship Id="rId32" Type="http://schemas.openxmlformats.org/officeDocument/2006/relationships/image" Target="media/image22.png"/><Relationship Id="rId33" Type="http://schemas.openxmlformats.org/officeDocument/2006/relationships/image" Target="media/image23.png"/><Relationship Id="rId34" Type="http://schemas.openxmlformats.org/officeDocument/2006/relationships/image" Target="media/image24.png"/><Relationship Id="rId35" Type="http://schemas.openxmlformats.org/officeDocument/2006/relationships/image" Target="media/image25.png"/><Relationship Id="rId36" Type="http://schemas.openxmlformats.org/officeDocument/2006/relationships/image" Target="media/image26.png"/><Relationship Id="rId37" Type="http://schemas.openxmlformats.org/officeDocument/2006/relationships/image" Target="media/image27.png"/><Relationship Id="rId38" Type="http://schemas.openxmlformats.org/officeDocument/2006/relationships/image" Target="media/image28.png"/><Relationship Id="rId39" Type="http://schemas.openxmlformats.org/officeDocument/2006/relationships/image" Target="media/image29.png"/><Relationship Id="rId40" Type="http://schemas.openxmlformats.org/officeDocument/2006/relationships/image" Target="media/image30.png"/><Relationship Id="rId41" Type="http://schemas.openxmlformats.org/officeDocument/2006/relationships/image" Target="media/image31.png"/><Relationship Id="rId42" Type="http://schemas.openxmlformats.org/officeDocument/2006/relationships/image" Target="media/image32.png"/><Relationship Id="rId43" Type="http://schemas.openxmlformats.org/officeDocument/2006/relationships/image" Target="media/image33.png"/><Relationship Id="rId44" Type="http://schemas.openxmlformats.org/officeDocument/2006/relationships/image" Target="media/image34.png"/><Relationship Id="rId45" Type="http://schemas.openxmlformats.org/officeDocument/2006/relationships/image" Target="media/image35.png"/><Relationship Id="rId46" Type="http://schemas.openxmlformats.org/officeDocument/2006/relationships/image" Target="media/image36.png"/><Relationship Id="rId47" Type="http://schemas.openxmlformats.org/officeDocument/2006/relationships/image" Target="media/image37.png"/><Relationship Id="rId48" Type="http://schemas.openxmlformats.org/officeDocument/2006/relationships/image" Target="media/image38.png"/><Relationship Id="rId49" Type="http://schemas.openxmlformats.org/officeDocument/2006/relationships/image" Target="media/image39.png"/><Relationship Id="rId50" Type="http://schemas.openxmlformats.org/officeDocument/2006/relationships/image" Target="media/image40.png"/><Relationship Id="rId51" Type="http://schemas.openxmlformats.org/officeDocument/2006/relationships/image" Target="media/image41.png"/><Relationship Id="rId52" Type="http://schemas.openxmlformats.org/officeDocument/2006/relationships/image" Target="media/image42.png"/><Relationship Id="rId53" Type="http://schemas.openxmlformats.org/officeDocument/2006/relationships/image" Target="media/image43.png"/><Relationship Id="rId54" Type="http://schemas.openxmlformats.org/officeDocument/2006/relationships/image" Target="media/image44.png"/><Relationship Id="rId55" Type="http://schemas.openxmlformats.org/officeDocument/2006/relationships/image" Target="media/image45.png"/><Relationship Id="rId56" Type="http://schemas.openxmlformats.org/officeDocument/2006/relationships/image" Target="media/image46.png"/><Relationship Id="rId57" Type="http://schemas.openxmlformats.org/officeDocument/2006/relationships/image" Target="media/image47.png"/><Relationship Id="rId58" Type="http://schemas.openxmlformats.org/officeDocument/2006/relationships/image" Target="media/image48.png"/><Relationship Id="rId59" Type="http://schemas.openxmlformats.org/officeDocument/2006/relationships/image" Target="media/image49.png"/><Relationship Id="rId60" Type="http://schemas.openxmlformats.org/officeDocument/2006/relationships/image" Target="media/image50.png"/><Relationship Id="rId61" Type="http://schemas.openxmlformats.org/officeDocument/2006/relationships/image" Target="media/image51.png"/><Relationship Id="rId62" Type="http://schemas.openxmlformats.org/officeDocument/2006/relationships/image" Target="media/image52.png"/><Relationship Id="rId63" Type="http://schemas.openxmlformats.org/officeDocument/2006/relationships/image" Target="media/image5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